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5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3682"/>
        <w:gridCol w:w="6570"/>
      </w:tblGrid>
      <w:tr w:rsidR="00C0530A" w:rsidRPr="0014612C" w14:paraId="4BE82ADF" w14:textId="77777777" w:rsidTr="00D6340A">
        <w:trPr>
          <w:trHeight w:val="516"/>
          <w:jc w:val="center"/>
        </w:trPr>
        <w:tc>
          <w:tcPr>
            <w:tcW w:w="3682" w:type="dxa"/>
            <w:vMerge w:val="restart"/>
          </w:tcPr>
          <w:p w14:paraId="673625ED" w14:textId="77777777" w:rsidR="00C0530A" w:rsidRPr="0014612C" w:rsidRDefault="00C0530A" w:rsidP="00D6340A">
            <w:pPr>
              <w:jc w:val="center"/>
              <w:rPr>
                <w:rFonts w:ascii="Calibri" w:hAnsi="Calibri" w:cs="Calibri"/>
                <w:b/>
              </w:rPr>
            </w:pPr>
            <w:r w:rsidRPr="0014612C">
              <w:rPr>
                <w:rFonts w:ascii="Calibri" w:hAnsi="Calibri" w:cs="Calibri"/>
                <w:b/>
                <w:noProof/>
              </w:rPr>
              <w:drawing>
                <wp:inline distT="0" distB="0" distL="0" distR="0" wp14:anchorId="65CBA1B0" wp14:editId="5006D8CB">
                  <wp:extent cx="1613535" cy="2316480"/>
                  <wp:effectExtent l="0" t="0" r="5715" b="7620"/>
                  <wp:docPr id="205" name="Picture 205" descr="C:\Users\scdodds\AppData\Local\Microsoft\Windows\INetCache\Content.Outlook\69QL75PW\SDB headshot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dodds\AppData\Local\Microsoft\Windows\INetCache\Content.Outlook\69QL75PW\SDB headshot 20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5715" cy="2391393"/>
                          </a:xfrm>
                          <a:prstGeom prst="rect">
                            <a:avLst/>
                          </a:prstGeom>
                          <a:noFill/>
                          <a:ln>
                            <a:noFill/>
                          </a:ln>
                        </pic:spPr>
                      </pic:pic>
                    </a:graphicData>
                  </a:graphic>
                </wp:inline>
              </w:drawing>
            </w:r>
          </w:p>
        </w:tc>
        <w:tc>
          <w:tcPr>
            <w:tcW w:w="6570" w:type="dxa"/>
          </w:tcPr>
          <w:p w14:paraId="2359ED0F" w14:textId="77777777" w:rsidR="00C0530A" w:rsidRPr="0014612C" w:rsidRDefault="00C0530A" w:rsidP="00D6340A">
            <w:pPr>
              <w:rPr>
                <w:rFonts w:ascii="Calibri" w:hAnsi="Calibri" w:cs="Calibri"/>
                <w:b/>
              </w:rPr>
            </w:pPr>
            <w:r w:rsidRPr="0014612C">
              <w:rPr>
                <w:rFonts w:ascii="Calibri" w:hAnsi="Calibri" w:cs="Calibri"/>
                <w:b/>
              </w:rPr>
              <w:t xml:space="preserve">Name:  </w:t>
            </w:r>
            <w:r w:rsidRPr="00732E60">
              <w:rPr>
                <w:rFonts w:ascii="Calibri" w:hAnsi="Calibri" w:cs="Calibri"/>
                <w:sz w:val="32"/>
                <w:szCs w:val="32"/>
              </w:rPr>
              <w:t xml:space="preserve">Sarah C. </w:t>
            </w:r>
            <w:proofErr w:type="spellStart"/>
            <w:r w:rsidRPr="00732E60">
              <w:rPr>
                <w:rFonts w:ascii="Calibri" w:hAnsi="Calibri" w:cs="Calibri"/>
                <w:sz w:val="32"/>
                <w:szCs w:val="32"/>
              </w:rPr>
              <w:t>Dodds</w:t>
            </w:r>
            <w:proofErr w:type="spellEnd"/>
            <w:r w:rsidRPr="00732E60">
              <w:rPr>
                <w:rFonts w:ascii="Calibri" w:hAnsi="Calibri" w:cs="Calibri"/>
                <w:sz w:val="32"/>
                <w:szCs w:val="32"/>
              </w:rPr>
              <w:t>-Brown</w:t>
            </w:r>
          </w:p>
        </w:tc>
      </w:tr>
      <w:tr w:rsidR="00C0530A" w:rsidRPr="0014612C" w14:paraId="5D7B02F8" w14:textId="77777777" w:rsidTr="00D6340A">
        <w:trPr>
          <w:trHeight w:val="444"/>
          <w:jc w:val="center"/>
        </w:trPr>
        <w:tc>
          <w:tcPr>
            <w:tcW w:w="3682" w:type="dxa"/>
            <w:vMerge/>
          </w:tcPr>
          <w:p w14:paraId="24C17F5C" w14:textId="77777777" w:rsidR="00C0530A" w:rsidRPr="0014612C" w:rsidRDefault="00C0530A" w:rsidP="00D6340A">
            <w:pPr>
              <w:rPr>
                <w:rFonts w:ascii="Calibri" w:hAnsi="Calibri" w:cs="Calibri"/>
              </w:rPr>
            </w:pPr>
          </w:p>
        </w:tc>
        <w:tc>
          <w:tcPr>
            <w:tcW w:w="6570" w:type="dxa"/>
          </w:tcPr>
          <w:p w14:paraId="2E3FB7CD" w14:textId="77777777" w:rsidR="00C0530A" w:rsidRPr="0014612C" w:rsidRDefault="00C0530A" w:rsidP="00D6340A">
            <w:pPr>
              <w:rPr>
                <w:rFonts w:ascii="Calibri" w:hAnsi="Calibri" w:cs="Calibri"/>
                <w:b/>
              </w:rPr>
            </w:pPr>
            <w:r w:rsidRPr="0014612C">
              <w:rPr>
                <w:rFonts w:ascii="Calibri" w:hAnsi="Calibri" w:cs="Calibri"/>
                <w:b/>
              </w:rPr>
              <w:t xml:space="preserve">Company Name:  </w:t>
            </w:r>
            <w:r w:rsidRPr="0014612C">
              <w:rPr>
                <w:rFonts w:ascii="Calibri" w:hAnsi="Calibri" w:cs="Calibri"/>
              </w:rPr>
              <w:t>American Express Company</w:t>
            </w:r>
          </w:p>
        </w:tc>
      </w:tr>
      <w:tr w:rsidR="00C0530A" w:rsidRPr="0014612C" w14:paraId="3DC7C22E" w14:textId="77777777" w:rsidTr="00D6340A">
        <w:trPr>
          <w:trHeight w:val="444"/>
          <w:jc w:val="center"/>
        </w:trPr>
        <w:tc>
          <w:tcPr>
            <w:tcW w:w="3682" w:type="dxa"/>
            <w:vMerge/>
          </w:tcPr>
          <w:p w14:paraId="532DD995" w14:textId="77777777" w:rsidR="00C0530A" w:rsidRPr="0014612C" w:rsidRDefault="00C0530A" w:rsidP="00D6340A">
            <w:pPr>
              <w:rPr>
                <w:rFonts w:ascii="Calibri" w:hAnsi="Calibri" w:cs="Calibri"/>
              </w:rPr>
            </w:pPr>
          </w:p>
        </w:tc>
        <w:tc>
          <w:tcPr>
            <w:tcW w:w="6570" w:type="dxa"/>
          </w:tcPr>
          <w:p w14:paraId="2100FBC7" w14:textId="77777777" w:rsidR="00C0530A" w:rsidRPr="0014612C" w:rsidRDefault="00C0530A" w:rsidP="00D6340A">
            <w:pPr>
              <w:rPr>
                <w:rFonts w:ascii="Calibri" w:hAnsi="Calibri" w:cs="Calibri"/>
                <w:b/>
              </w:rPr>
            </w:pPr>
            <w:r w:rsidRPr="0014612C">
              <w:rPr>
                <w:rFonts w:ascii="Calibri" w:hAnsi="Calibri" w:cs="Calibri"/>
                <w:b/>
              </w:rPr>
              <w:t xml:space="preserve">Current or Most Recent Role:  </w:t>
            </w:r>
            <w:r w:rsidRPr="0014612C">
              <w:rPr>
                <w:rFonts w:ascii="Calibri" w:hAnsi="Calibri" w:cs="Calibri"/>
              </w:rPr>
              <w:t>Executive Vice President &amp; Managing Counsel</w:t>
            </w:r>
          </w:p>
        </w:tc>
      </w:tr>
      <w:tr w:rsidR="00C0530A" w:rsidRPr="0014612C" w14:paraId="7FB0BD94" w14:textId="77777777" w:rsidTr="00D6340A">
        <w:trPr>
          <w:trHeight w:val="859"/>
          <w:jc w:val="center"/>
        </w:trPr>
        <w:tc>
          <w:tcPr>
            <w:tcW w:w="3682" w:type="dxa"/>
            <w:vMerge/>
          </w:tcPr>
          <w:p w14:paraId="33714417" w14:textId="77777777" w:rsidR="00C0530A" w:rsidRPr="0014612C" w:rsidRDefault="00C0530A" w:rsidP="00D6340A">
            <w:pPr>
              <w:rPr>
                <w:rFonts w:ascii="Calibri" w:hAnsi="Calibri" w:cs="Calibri"/>
              </w:rPr>
            </w:pPr>
          </w:p>
        </w:tc>
        <w:tc>
          <w:tcPr>
            <w:tcW w:w="6570" w:type="dxa"/>
          </w:tcPr>
          <w:p w14:paraId="1B4DF6FB" w14:textId="77777777" w:rsidR="00C0530A" w:rsidRPr="0014612C" w:rsidRDefault="00C0530A" w:rsidP="00D6340A">
            <w:pPr>
              <w:rPr>
                <w:rFonts w:ascii="Calibri" w:hAnsi="Calibri" w:cs="Calibri"/>
                <w:b/>
              </w:rPr>
            </w:pPr>
            <w:r w:rsidRPr="0014612C">
              <w:rPr>
                <w:rFonts w:ascii="Calibri" w:hAnsi="Calibri" w:cs="Calibri"/>
                <w:b/>
              </w:rPr>
              <w:t xml:space="preserve">Are You </w:t>
            </w:r>
            <w:proofErr w:type="gramStart"/>
            <w:r w:rsidRPr="0014612C">
              <w:rPr>
                <w:rFonts w:ascii="Calibri" w:hAnsi="Calibri" w:cs="Calibri"/>
                <w:b/>
              </w:rPr>
              <w:t>The</w:t>
            </w:r>
            <w:proofErr w:type="gramEnd"/>
            <w:r w:rsidRPr="0014612C">
              <w:rPr>
                <w:rFonts w:ascii="Calibri" w:hAnsi="Calibri" w:cs="Calibri"/>
                <w:b/>
              </w:rPr>
              <w:t xml:space="preserve"> Top Legal Officer – GC/CLO? </w:t>
            </w:r>
          </w:p>
          <w:p w14:paraId="1908BFBF" w14:textId="77777777" w:rsidR="00C0530A" w:rsidRPr="0014612C" w:rsidRDefault="00C0530A" w:rsidP="00D6340A">
            <w:pPr>
              <w:rPr>
                <w:rFonts w:ascii="Calibri" w:hAnsi="Calibri" w:cs="Calibri"/>
                <w:b/>
              </w:rPr>
            </w:pPr>
            <w:r w:rsidRPr="0014612C">
              <w:rPr>
                <w:rFonts w:ascii="Calibri" w:hAnsi="Calibri" w:cs="Calibri"/>
                <w:b/>
              </w:rPr>
              <w:t xml:space="preserve">Yes  </w:t>
            </w:r>
            <w:r w:rsidRPr="0014612C">
              <w:rPr>
                <w:rFonts w:ascii="Calibri" w:hAnsi="Calibri" w:cs="Calibri"/>
                <w:b/>
              </w:rPr>
              <w:sym w:font="Symbol" w:char="F0F0"/>
            </w:r>
            <w:r w:rsidRPr="0014612C">
              <w:rPr>
                <w:rFonts w:ascii="Calibri" w:hAnsi="Calibri" w:cs="Calibri"/>
                <w:b/>
              </w:rPr>
              <w:t xml:space="preserve">    </w:t>
            </w:r>
            <w:proofErr w:type="gramStart"/>
            <w:r w:rsidRPr="0014612C">
              <w:rPr>
                <w:rFonts w:ascii="Calibri" w:hAnsi="Calibri" w:cs="Calibri"/>
                <w:b/>
              </w:rPr>
              <w:t xml:space="preserve">No  </w:t>
            </w:r>
            <w:r w:rsidRPr="0014612C">
              <w:rPr>
                <w:rFonts w:ascii="Calibri" w:hAnsi="Calibri" w:cs="Calibri"/>
              </w:rPr>
              <w:t>X</w:t>
            </w:r>
            <w:proofErr w:type="gramEnd"/>
            <w:r w:rsidRPr="0014612C">
              <w:rPr>
                <w:rFonts w:ascii="Calibri" w:hAnsi="Calibri" w:cs="Calibri"/>
                <w:b/>
              </w:rPr>
              <w:t xml:space="preserve">  </w:t>
            </w:r>
          </w:p>
        </w:tc>
      </w:tr>
      <w:tr w:rsidR="00C0530A" w:rsidRPr="0014612C" w14:paraId="73E1C405" w14:textId="77777777" w:rsidTr="00D6340A">
        <w:trPr>
          <w:trHeight w:val="984"/>
          <w:jc w:val="center"/>
        </w:trPr>
        <w:tc>
          <w:tcPr>
            <w:tcW w:w="3682" w:type="dxa"/>
            <w:vMerge/>
          </w:tcPr>
          <w:p w14:paraId="3A65C3A3" w14:textId="77777777" w:rsidR="00C0530A" w:rsidRPr="0014612C" w:rsidRDefault="00C0530A" w:rsidP="00D6340A">
            <w:pPr>
              <w:rPr>
                <w:rFonts w:ascii="Calibri" w:hAnsi="Calibri" w:cs="Calibri"/>
              </w:rPr>
            </w:pPr>
          </w:p>
        </w:tc>
        <w:tc>
          <w:tcPr>
            <w:tcW w:w="6570" w:type="dxa"/>
          </w:tcPr>
          <w:p w14:paraId="6D0F1B34" w14:textId="77777777" w:rsidR="00C0530A" w:rsidRPr="0014612C" w:rsidRDefault="00C0530A" w:rsidP="00D6340A">
            <w:pPr>
              <w:rPr>
                <w:rFonts w:ascii="Calibri" w:hAnsi="Calibri" w:cs="Calibri"/>
                <w:b/>
              </w:rPr>
            </w:pPr>
            <w:r w:rsidRPr="0014612C">
              <w:rPr>
                <w:rFonts w:ascii="Calibri" w:hAnsi="Calibri" w:cs="Calibri"/>
                <w:b/>
              </w:rPr>
              <w:t>To whom do you report:</w:t>
            </w:r>
          </w:p>
          <w:p w14:paraId="779395AB" w14:textId="77777777" w:rsidR="00C0530A" w:rsidRPr="0014612C" w:rsidRDefault="00C0530A" w:rsidP="00D6340A">
            <w:pPr>
              <w:rPr>
                <w:rFonts w:ascii="Calibri" w:hAnsi="Calibri" w:cs="Calibri"/>
              </w:rPr>
            </w:pPr>
            <w:r w:rsidRPr="0014612C">
              <w:rPr>
                <w:rFonts w:ascii="Calibri" w:hAnsi="Calibri" w:cs="Calibri"/>
              </w:rPr>
              <w:t>Chief Legal Officer</w:t>
            </w:r>
          </w:p>
        </w:tc>
      </w:tr>
      <w:tr w:rsidR="00C0530A" w:rsidRPr="0014612C" w14:paraId="1C037930" w14:textId="77777777" w:rsidTr="00D6340A">
        <w:trPr>
          <w:jc w:val="center"/>
        </w:trPr>
        <w:tc>
          <w:tcPr>
            <w:tcW w:w="3682" w:type="dxa"/>
          </w:tcPr>
          <w:p w14:paraId="3729DA3F" w14:textId="77777777" w:rsidR="00C0530A" w:rsidRPr="0014612C" w:rsidRDefault="00C0530A" w:rsidP="00D6340A">
            <w:pPr>
              <w:rPr>
                <w:rFonts w:ascii="Calibri" w:hAnsi="Calibri" w:cs="Calibri"/>
                <w:b/>
              </w:rPr>
            </w:pPr>
            <w:r w:rsidRPr="0014612C">
              <w:rPr>
                <w:rFonts w:ascii="Calibri" w:hAnsi="Calibri" w:cs="Calibri"/>
                <w:b/>
              </w:rPr>
              <w:t>Education:</w:t>
            </w:r>
          </w:p>
          <w:p w14:paraId="5BA6620D" w14:textId="77777777" w:rsidR="00C0530A" w:rsidRPr="0014612C" w:rsidRDefault="00C0530A" w:rsidP="00D6340A">
            <w:pPr>
              <w:rPr>
                <w:rFonts w:ascii="Calibri" w:hAnsi="Calibri" w:cs="Calibri"/>
              </w:rPr>
            </w:pPr>
            <w:r w:rsidRPr="0014612C">
              <w:rPr>
                <w:rFonts w:ascii="Calibri" w:hAnsi="Calibri" w:cs="Calibri"/>
              </w:rPr>
              <w:t>Duke University, A.B.</w:t>
            </w:r>
          </w:p>
          <w:p w14:paraId="190C6B49" w14:textId="77777777" w:rsidR="00C0530A" w:rsidRPr="0014612C" w:rsidRDefault="00C0530A" w:rsidP="00D6340A">
            <w:pPr>
              <w:rPr>
                <w:rFonts w:ascii="Calibri" w:hAnsi="Calibri" w:cs="Calibri"/>
                <w:b/>
              </w:rPr>
            </w:pPr>
            <w:r w:rsidRPr="0014612C">
              <w:rPr>
                <w:rFonts w:ascii="Calibri" w:hAnsi="Calibri" w:cs="Calibri"/>
              </w:rPr>
              <w:t>Columbia University School of Law, JD</w:t>
            </w:r>
          </w:p>
        </w:tc>
        <w:tc>
          <w:tcPr>
            <w:tcW w:w="6570" w:type="dxa"/>
          </w:tcPr>
          <w:p w14:paraId="0C7C8BD7" w14:textId="77777777" w:rsidR="00C0530A" w:rsidRPr="0014612C" w:rsidRDefault="00C0530A" w:rsidP="00D6340A">
            <w:pPr>
              <w:rPr>
                <w:rFonts w:ascii="Calibri" w:hAnsi="Calibri" w:cs="Calibri"/>
                <w:b/>
              </w:rPr>
            </w:pPr>
            <w:r w:rsidRPr="0014612C">
              <w:rPr>
                <w:rFonts w:ascii="Calibri" w:hAnsi="Calibri" w:cs="Calibri"/>
                <w:b/>
              </w:rPr>
              <w:t>Company Revenue and Market Cap:</w:t>
            </w:r>
          </w:p>
          <w:p w14:paraId="210D730D" w14:textId="77777777" w:rsidR="00C0530A" w:rsidRPr="0014612C" w:rsidRDefault="00C0530A" w:rsidP="00D6340A">
            <w:pPr>
              <w:rPr>
                <w:rFonts w:ascii="Calibri" w:hAnsi="Calibri" w:cs="Calibri"/>
              </w:rPr>
            </w:pPr>
            <w:r w:rsidRPr="0014612C">
              <w:rPr>
                <w:rFonts w:ascii="Calibri" w:hAnsi="Calibri" w:cs="Calibri"/>
              </w:rPr>
              <w:t>$43.2B / $90B</w:t>
            </w:r>
          </w:p>
        </w:tc>
      </w:tr>
      <w:tr w:rsidR="00C0530A" w:rsidRPr="0014612C" w14:paraId="3C4D5240" w14:textId="77777777" w:rsidTr="00D6340A">
        <w:trPr>
          <w:jc w:val="center"/>
        </w:trPr>
        <w:tc>
          <w:tcPr>
            <w:tcW w:w="3682" w:type="dxa"/>
          </w:tcPr>
          <w:p w14:paraId="4C4CFA82" w14:textId="77777777" w:rsidR="00C0530A" w:rsidRPr="0014612C" w:rsidRDefault="00C0530A" w:rsidP="00D6340A">
            <w:pPr>
              <w:rPr>
                <w:rFonts w:ascii="Calibri" w:hAnsi="Calibri" w:cs="Calibri"/>
                <w:b/>
              </w:rPr>
            </w:pPr>
            <w:r w:rsidRPr="0014612C">
              <w:rPr>
                <w:rFonts w:ascii="Calibri" w:hAnsi="Calibri" w:cs="Calibri"/>
                <w:b/>
              </w:rPr>
              <w:t>Law School Graduation Date:</w:t>
            </w:r>
          </w:p>
          <w:p w14:paraId="40331F6C" w14:textId="77777777" w:rsidR="00C0530A" w:rsidRPr="0014612C" w:rsidRDefault="00C0530A" w:rsidP="00D6340A">
            <w:pPr>
              <w:rPr>
                <w:rFonts w:ascii="Calibri" w:hAnsi="Calibri" w:cs="Calibri"/>
              </w:rPr>
            </w:pPr>
            <w:r w:rsidRPr="0014612C">
              <w:rPr>
                <w:rFonts w:ascii="Calibri" w:hAnsi="Calibri" w:cs="Calibri"/>
              </w:rPr>
              <w:t>May 1998</w:t>
            </w:r>
          </w:p>
        </w:tc>
        <w:tc>
          <w:tcPr>
            <w:tcW w:w="6570" w:type="dxa"/>
          </w:tcPr>
          <w:p w14:paraId="0449560B" w14:textId="77777777" w:rsidR="00C0530A" w:rsidRPr="0014612C" w:rsidRDefault="00C0530A" w:rsidP="00D6340A">
            <w:pPr>
              <w:rPr>
                <w:rFonts w:ascii="Calibri" w:hAnsi="Calibri" w:cs="Calibri"/>
                <w:b/>
              </w:rPr>
            </w:pPr>
            <w:r w:rsidRPr="0014612C">
              <w:rPr>
                <w:rFonts w:ascii="Calibri" w:hAnsi="Calibri" w:cs="Calibri"/>
                <w:b/>
              </w:rPr>
              <w:t>Public?</w:t>
            </w:r>
          </w:p>
          <w:p w14:paraId="0C769561" w14:textId="77777777" w:rsidR="00C0530A" w:rsidRPr="0014612C" w:rsidRDefault="00C0530A" w:rsidP="00D6340A">
            <w:pPr>
              <w:rPr>
                <w:rFonts w:ascii="Calibri" w:hAnsi="Calibri" w:cs="Calibri"/>
              </w:rPr>
            </w:pPr>
            <w:r w:rsidRPr="0014612C">
              <w:rPr>
                <w:rFonts w:ascii="Calibri" w:hAnsi="Calibri" w:cs="Calibri"/>
              </w:rPr>
              <w:t xml:space="preserve">Yes     </w:t>
            </w:r>
          </w:p>
        </w:tc>
      </w:tr>
      <w:tr w:rsidR="00C0530A" w:rsidRPr="0014612C" w14:paraId="66121EBC" w14:textId="77777777" w:rsidTr="00D6340A">
        <w:trPr>
          <w:trHeight w:val="399"/>
          <w:jc w:val="center"/>
        </w:trPr>
        <w:tc>
          <w:tcPr>
            <w:tcW w:w="3682" w:type="dxa"/>
          </w:tcPr>
          <w:p w14:paraId="7D593AF0" w14:textId="77777777" w:rsidR="00C0530A" w:rsidRPr="0014612C" w:rsidRDefault="00C0530A" w:rsidP="00D6340A">
            <w:pPr>
              <w:rPr>
                <w:rFonts w:ascii="Calibri" w:hAnsi="Calibri" w:cs="Calibri"/>
                <w:b/>
              </w:rPr>
            </w:pPr>
            <w:r w:rsidRPr="0014612C">
              <w:rPr>
                <w:rFonts w:ascii="Calibri" w:hAnsi="Calibri" w:cs="Calibri"/>
                <w:b/>
              </w:rPr>
              <w:t xml:space="preserve">GC Sponsor: </w:t>
            </w:r>
          </w:p>
          <w:p w14:paraId="6336F349" w14:textId="77777777" w:rsidR="00C0530A" w:rsidRPr="0014612C" w:rsidRDefault="00C0530A" w:rsidP="00D6340A">
            <w:pPr>
              <w:rPr>
                <w:rFonts w:ascii="Calibri" w:hAnsi="Calibri" w:cs="Calibri"/>
              </w:rPr>
            </w:pPr>
            <w:r w:rsidRPr="0014612C">
              <w:rPr>
                <w:rFonts w:ascii="Calibri" w:hAnsi="Calibri" w:cs="Calibri"/>
              </w:rPr>
              <w:t>Louise Parent (former GC, American Express)</w:t>
            </w:r>
          </w:p>
        </w:tc>
        <w:tc>
          <w:tcPr>
            <w:tcW w:w="6570" w:type="dxa"/>
          </w:tcPr>
          <w:p w14:paraId="4E201927" w14:textId="77777777" w:rsidR="00C0530A" w:rsidRPr="0014612C" w:rsidRDefault="00C0530A" w:rsidP="00D6340A">
            <w:pPr>
              <w:rPr>
                <w:rFonts w:ascii="Calibri" w:hAnsi="Calibri" w:cs="Calibri"/>
                <w:b/>
              </w:rPr>
            </w:pPr>
            <w:r w:rsidRPr="0014612C">
              <w:rPr>
                <w:rFonts w:ascii="Calibri" w:hAnsi="Calibri" w:cs="Calibri"/>
                <w:b/>
              </w:rPr>
              <w:t>Primary Area(s) of Practice/Experience:</w:t>
            </w:r>
          </w:p>
          <w:p w14:paraId="4071BAA5" w14:textId="77777777" w:rsidR="00C0530A" w:rsidRPr="0014612C" w:rsidRDefault="00C0530A" w:rsidP="00D6340A">
            <w:pPr>
              <w:rPr>
                <w:rFonts w:ascii="Calibri" w:hAnsi="Calibri" w:cs="Calibri"/>
              </w:rPr>
            </w:pPr>
            <w:r w:rsidRPr="0014612C">
              <w:rPr>
                <w:rFonts w:ascii="Calibri" w:hAnsi="Calibri" w:cs="Calibri"/>
              </w:rPr>
              <w:t>Financial Services; Payments; Privacy &amp; Data Governance</w:t>
            </w:r>
          </w:p>
        </w:tc>
      </w:tr>
      <w:tr w:rsidR="00C0530A" w:rsidRPr="0014612C" w14:paraId="0E217E0B" w14:textId="77777777" w:rsidTr="00D6340A">
        <w:trPr>
          <w:jc w:val="center"/>
        </w:trPr>
        <w:tc>
          <w:tcPr>
            <w:tcW w:w="3682" w:type="dxa"/>
          </w:tcPr>
          <w:p w14:paraId="6032077C" w14:textId="77777777" w:rsidR="00C0530A" w:rsidRPr="0014612C" w:rsidRDefault="00C0530A" w:rsidP="00D6340A">
            <w:pPr>
              <w:rPr>
                <w:rFonts w:ascii="Calibri" w:hAnsi="Calibri" w:cs="Calibri"/>
                <w:b/>
              </w:rPr>
            </w:pPr>
            <w:r w:rsidRPr="0014612C">
              <w:rPr>
                <w:rFonts w:ascii="Calibri" w:hAnsi="Calibri" w:cs="Calibri"/>
                <w:b/>
              </w:rPr>
              <w:t>Any Geographical Preferences or Restrictions?</w:t>
            </w:r>
          </w:p>
          <w:p w14:paraId="7A55FD2E" w14:textId="77777777" w:rsidR="00C0530A" w:rsidRPr="0014612C" w:rsidRDefault="00C0530A" w:rsidP="00D6340A">
            <w:pPr>
              <w:rPr>
                <w:rFonts w:ascii="Calibri" w:hAnsi="Calibri" w:cs="Calibri"/>
                <w:b/>
              </w:rPr>
            </w:pPr>
            <w:r w:rsidRPr="0014612C">
              <w:rPr>
                <w:rFonts w:ascii="Calibri" w:hAnsi="Calibri" w:cs="Calibri"/>
              </w:rPr>
              <w:t>Northeast preference</w:t>
            </w:r>
          </w:p>
        </w:tc>
        <w:tc>
          <w:tcPr>
            <w:tcW w:w="6570" w:type="dxa"/>
          </w:tcPr>
          <w:p w14:paraId="4FDEC572" w14:textId="77777777" w:rsidR="00C0530A" w:rsidRPr="0014612C" w:rsidRDefault="00C0530A" w:rsidP="00D6340A">
            <w:pPr>
              <w:rPr>
                <w:rFonts w:ascii="Calibri" w:hAnsi="Calibri" w:cs="Calibri"/>
                <w:b/>
              </w:rPr>
            </w:pPr>
            <w:r w:rsidRPr="0014612C">
              <w:rPr>
                <w:rFonts w:ascii="Calibri" w:hAnsi="Calibri" w:cs="Calibri"/>
                <w:b/>
              </w:rPr>
              <w:t>Law Firm Experience:</w:t>
            </w:r>
          </w:p>
          <w:p w14:paraId="30498A72" w14:textId="77777777" w:rsidR="00C0530A" w:rsidRPr="0014612C" w:rsidRDefault="00C0530A" w:rsidP="00D6340A">
            <w:pPr>
              <w:rPr>
                <w:rFonts w:ascii="Calibri" w:hAnsi="Calibri" w:cs="Calibri"/>
              </w:rPr>
            </w:pPr>
            <w:r w:rsidRPr="0014612C">
              <w:rPr>
                <w:rFonts w:ascii="Calibri" w:hAnsi="Calibri" w:cs="Calibri"/>
              </w:rPr>
              <w:t>Paul, Weiss, Rifkind, Wharton &amp; Garrison LLP, 1998-2005</w:t>
            </w:r>
          </w:p>
          <w:p w14:paraId="1050FDB3" w14:textId="77777777" w:rsidR="00C0530A" w:rsidRPr="0014612C" w:rsidRDefault="00C0530A" w:rsidP="00D6340A">
            <w:pPr>
              <w:rPr>
                <w:rFonts w:ascii="Calibri" w:hAnsi="Calibri" w:cs="Calibri"/>
              </w:rPr>
            </w:pPr>
            <w:r w:rsidRPr="0014612C">
              <w:rPr>
                <w:rFonts w:ascii="Calibri" w:hAnsi="Calibri" w:cs="Calibri"/>
              </w:rPr>
              <w:t>(Mergers &amp; Acquisitions and Private Equity)</w:t>
            </w:r>
          </w:p>
        </w:tc>
      </w:tr>
      <w:tr w:rsidR="00C0530A" w:rsidRPr="0014612C" w14:paraId="685F9F47" w14:textId="77777777" w:rsidTr="00D6340A">
        <w:trPr>
          <w:jc w:val="center"/>
        </w:trPr>
        <w:tc>
          <w:tcPr>
            <w:tcW w:w="3682" w:type="dxa"/>
          </w:tcPr>
          <w:p w14:paraId="35ED2072" w14:textId="77777777" w:rsidR="00C0530A" w:rsidRPr="0014612C" w:rsidRDefault="00C0530A" w:rsidP="00D6340A">
            <w:pPr>
              <w:rPr>
                <w:rFonts w:ascii="Calibri" w:hAnsi="Calibri" w:cs="Calibri"/>
                <w:b/>
              </w:rPr>
            </w:pPr>
            <w:r w:rsidRPr="0014612C">
              <w:rPr>
                <w:rFonts w:ascii="Calibri" w:hAnsi="Calibri" w:cs="Calibri"/>
                <w:b/>
              </w:rPr>
              <w:t>Prior In-House Titles:</w:t>
            </w:r>
          </w:p>
          <w:p w14:paraId="650294F2" w14:textId="77777777" w:rsidR="00C0530A" w:rsidRPr="0014612C" w:rsidRDefault="00C0530A" w:rsidP="00D6340A">
            <w:pPr>
              <w:rPr>
                <w:rFonts w:ascii="Calibri" w:hAnsi="Calibri" w:cs="Calibri"/>
              </w:rPr>
            </w:pPr>
            <w:r w:rsidRPr="0014612C">
              <w:rPr>
                <w:rFonts w:ascii="Calibri" w:hAnsi="Calibri" w:cs="Calibri"/>
              </w:rPr>
              <w:t>Promoted four times over the last 8 years and went from supervising a team of 3 attorneys to supervising a team of over 75 attorneys across multiple locations in same timeframe.</w:t>
            </w:r>
          </w:p>
        </w:tc>
        <w:tc>
          <w:tcPr>
            <w:tcW w:w="6570" w:type="dxa"/>
          </w:tcPr>
          <w:p w14:paraId="2F18F875" w14:textId="77777777" w:rsidR="00C0530A" w:rsidRPr="0014612C" w:rsidRDefault="00C0530A" w:rsidP="00D6340A">
            <w:pPr>
              <w:rPr>
                <w:rFonts w:ascii="Calibri" w:hAnsi="Calibri" w:cs="Calibri"/>
                <w:b/>
              </w:rPr>
            </w:pPr>
            <w:r w:rsidRPr="0014612C">
              <w:rPr>
                <w:rFonts w:ascii="Calibri" w:hAnsi="Calibri" w:cs="Calibri"/>
                <w:b/>
              </w:rPr>
              <w:t>Industry Experience:</w:t>
            </w:r>
          </w:p>
          <w:p w14:paraId="6C007399" w14:textId="77777777" w:rsidR="00C0530A" w:rsidRPr="0014612C" w:rsidRDefault="00C0530A" w:rsidP="00D6340A">
            <w:pPr>
              <w:rPr>
                <w:rFonts w:ascii="Calibri" w:hAnsi="Calibri" w:cs="Calibri"/>
              </w:rPr>
            </w:pPr>
            <w:r w:rsidRPr="0014612C">
              <w:rPr>
                <w:rFonts w:ascii="Calibri" w:hAnsi="Calibri" w:cs="Calibri"/>
              </w:rPr>
              <w:t>Financial Services – Payments sector (merchant acquisition, network services, consumer and commercial card issuing, privacy and data analytics)</w:t>
            </w:r>
          </w:p>
        </w:tc>
      </w:tr>
      <w:tr w:rsidR="00C0530A" w:rsidRPr="0014612C" w14:paraId="33806EDC" w14:textId="77777777" w:rsidTr="00D6340A">
        <w:trPr>
          <w:jc w:val="center"/>
        </w:trPr>
        <w:tc>
          <w:tcPr>
            <w:tcW w:w="3682" w:type="dxa"/>
          </w:tcPr>
          <w:p w14:paraId="376E59CF" w14:textId="77777777" w:rsidR="00C0530A" w:rsidRPr="0014612C" w:rsidRDefault="00C0530A" w:rsidP="00D6340A">
            <w:pPr>
              <w:rPr>
                <w:rFonts w:ascii="Calibri" w:hAnsi="Calibri" w:cs="Calibri"/>
                <w:b/>
                <w:lang w:val="fr-FR"/>
              </w:rPr>
            </w:pPr>
            <w:r w:rsidRPr="0014612C">
              <w:rPr>
                <w:rFonts w:ascii="Calibri" w:hAnsi="Calibri" w:cs="Calibri"/>
                <w:b/>
                <w:lang w:val="fr-FR"/>
              </w:rPr>
              <w:t xml:space="preserve">Contact </w:t>
            </w:r>
            <w:proofErr w:type="gramStart"/>
            <w:r w:rsidRPr="0014612C">
              <w:rPr>
                <w:rFonts w:ascii="Calibri" w:hAnsi="Calibri" w:cs="Calibri"/>
                <w:b/>
                <w:lang w:val="fr-FR"/>
              </w:rPr>
              <w:t>Information:</w:t>
            </w:r>
            <w:proofErr w:type="gramEnd"/>
            <w:r w:rsidRPr="0014612C">
              <w:rPr>
                <w:rFonts w:ascii="Calibri" w:hAnsi="Calibri" w:cs="Calibri"/>
                <w:b/>
                <w:lang w:val="fr-FR"/>
              </w:rPr>
              <w:t xml:space="preserve">  </w:t>
            </w:r>
          </w:p>
          <w:p w14:paraId="1F782D12" w14:textId="77777777" w:rsidR="00C0530A" w:rsidRPr="0014612C" w:rsidRDefault="00C0530A" w:rsidP="00D6340A">
            <w:pPr>
              <w:rPr>
                <w:rFonts w:ascii="Calibri" w:hAnsi="Calibri" w:cs="Calibri"/>
                <w:lang w:val="fr-FR"/>
              </w:rPr>
            </w:pPr>
            <w:hyperlink r:id="rId5" w:history="1">
              <w:r w:rsidRPr="0014612C">
                <w:rPr>
                  <w:rStyle w:val="Hyperlink"/>
                  <w:rFonts w:ascii="Calibri" w:hAnsi="Calibri" w:cs="Calibri"/>
                  <w:lang w:val="fr-FR"/>
                </w:rPr>
                <w:t>sdoddsbrown@hotmail.com</w:t>
              </w:r>
            </w:hyperlink>
          </w:p>
          <w:p w14:paraId="6065E155" w14:textId="77777777" w:rsidR="00C0530A" w:rsidRPr="0014612C" w:rsidRDefault="00C0530A" w:rsidP="00D6340A">
            <w:pPr>
              <w:rPr>
                <w:rFonts w:ascii="Calibri" w:hAnsi="Calibri" w:cs="Calibri"/>
                <w:lang w:val="fr-FR"/>
              </w:rPr>
            </w:pPr>
            <w:r w:rsidRPr="0014612C">
              <w:rPr>
                <w:rFonts w:ascii="Calibri" w:hAnsi="Calibri" w:cs="Calibri"/>
                <w:lang w:val="fr-FR"/>
              </w:rPr>
              <w:t>917-439-6190</w:t>
            </w:r>
          </w:p>
          <w:p w14:paraId="3F8252E5" w14:textId="77777777" w:rsidR="00C0530A" w:rsidRPr="0014612C" w:rsidRDefault="00C0530A" w:rsidP="00D6340A">
            <w:pPr>
              <w:rPr>
                <w:rFonts w:ascii="Calibri" w:hAnsi="Calibri" w:cs="Calibri"/>
              </w:rPr>
            </w:pPr>
            <w:r w:rsidRPr="0014612C">
              <w:rPr>
                <w:rFonts w:ascii="Calibri" w:hAnsi="Calibri" w:cs="Calibri"/>
              </w:rPr>
              <w:t>44 Cortlandt Avenue</w:t>
            </w:r>
          </w:p>
          <w:p w14:paraId="05B2ECF1" w14:textId="77777777" w:rsidR="00C0530A" w:rsidRPr="0014612C" w:rsidRDefault="00C0530A" w:rsidP="00D6340A">
            <w:pPr>
              <w:rPr>
                <w:rFonts w:ascii="Calibri" w:hAnsi="Calibri" w:cs="Calibri"/>
              </w:rPr>
            </w:pPr>
            <w:r w:rsidRPr="0014612C">
              <w:rPr>
                <w:rFonts w:ascii="Calibri" w:hAnsi="Calibri" w:cs="Calibri"/>
              </w:rPr>
              <w:t>New Rochelle, NY 10801</w:t>
            </w:r>
          </w:p>
        </w:tc>
        <w:tc>
          <w:tcPr>
            <w:tcW w:w="6570" w:type="dxa"/>
          </w:tcPr>
          <w:p w14:paraId="3C38938C" w14:textId="77777777" w:rsidR="00C0530A" w:rsidRPr="0014612C" w:rsidRDefault="00C0530A" w:rsidP="00D6340A">
            <w:pPr>
              <w:rPr>
                <w:rFonts w:ascii="Calibri" w:hAnsi="Calibri" w:cs="Calibri"/>
                <w:b/>
              </w:rPr>
            </w:pPr>
            <w:r w:rsidRPr="0014612C">
              <w:rPr>
                <w:rFonts w:ascii="Calibri" w:hAnsi="Calibri" w:cs="Calibri"/>
                <w:b/>
              </w:rPr>
              <w:t>Size of the Largest Team Managed:</w:t>
            </w:r>
          </w:p>
          <w:p w14:paraId="61812BF6" w14:textId="77777777" w:rsidR="00C0530A" w:rsidRPr="0014612C" w:rsidRDefault="00C0530A" w:rsidP="00D6340A">
            <w:pPr>
              <w:rPr>
                <w:rFonts w:ascii="Calibri" w:hAnsi="Calibri" w:cs="Calibri"/>
              </w:rPr>
            </w:pPr>
            <w:r w:rsidRPr="0014612C">
              <w:rPr>
                <w:rFonts w:ascii="Calibri" w:hAnsi="Calibri" w:cs="Calibri"/>
              </w:rPr>
              <w:t>Currently manage a team of approximately 85 legal professionals (comprised of 77 attorneys and 8 non-attorney paralegals)</w:t>
            </w:r>
          </w:p>
        </w:tc>
      </w:tr>
      <w:tr w:rsidR="00C0530A" w:rsidRPr="0014612C" w14:paraId="59A3A964" w14:textId="77777777" w:rsidTr="00D6340A">
        <w:trPr>
          <w:jc w:val="center"/>
        </w:trPr>
        <w:tc>
          <w:tcPr>
            <w:tcW w:w="3682" w:type="dxa"/>
          </w:tcPr>
          <w:p w14:paraId="6129B660" w14:textId="77777777" w:rsidR="00C0530A" w:rsidRPr="0014612C" w:rsidRDefault="00C0530A" w:rsidP="00D6340A">
            <w:pPr>
              <w:rPr>
                <w:rFonts w:ascii="Calibri" w:hAnsi="Calibri" w:cs="Calibri"/>
                <w:b/>
              </w:rPr>
            </w:pPr>
            <w:r w:rsidRPr="0014612C">
              <w:rPr>
                <w:rFonts w:ascii="Calibri" w:hAnsi="Calibri" w:cs="Calibri"/>
                <w:b/>
              </w:rPr>
              <w:t>Explain level of Corporate Governance and Corporate Board Room Experience:</w:t>
            </w:r>
          </w:p>
          <w:p w14:paraId="18467385" w14:textId="77777777" w:rsidR="00C0530A" w:rsidRPr="0014612C" w:rsidRDefault="00C0530A" w:rsidP="00D6340A">
            <w:pPr>
              <w:rPr>
                <w:rFonts w:ascii="Calibri" w:hAnsi="Calibri" w:cs="Calibri"/>
              </w:rPr>
            </w:pPr>
            <w:r w:rsidRPr="0014612C">
              <w:rPr>
                <w:rFonts w:ascii="Calibri" w:hAnsi="Calibri" w:cs="Calibri"/>
              </w:rPr>
              <w:t>Periodic advice to board on business strategic matters with legal implications</w:t>
            </w:r>
          </w:p>
        </w:tc>
        <w:tc>
          <w:tcPr>
            <w:tcW w:w="6570" w:type="dxa"/>
          </w:tcPr>
          <w:p w14:paraId="61CA6558" w14:textId="77777777" w:rsidR="00C0530A" w:rsidRPr="0014612C" w:rsidRDefault="00C0530A" w:rsidP="00D6340A">
            <w:pPr>
              <w:rPr>
                <w:rFonts w:ascii="Calibri" w:hAnsi="Calibri" w:cs="Calibri"/>
              </w:rPr>
            </w:pPr>
            <w:r w:rsidRPr="0014612C">
              <w:rPr>
                <w:rFonts w:ascii="Calibri" w:hAnsi="Calibri" w:cs="Calibri"/>
                <w:b/>
              </w:rPr>
              <w:t xml:space="preserve">Areas of Experience: </w:t>
            </w:r>
          </w:p>
          <w:p w14:paraId="2C9ECB5E" w14:textId="77777777" w:rsidR="00C0530A" w:rsidRPr="0014612C" w:rsidRDefault="00C0530A" w:rsidP="00D6340A">
            <w:pPr>
              <w:rPr>
                <w:rFonts w:ascii="Calibri" w:hAnsi="Calibri" w:cs="Calibri"/>
              </w:rPr>
            </w:pPr>
            <w:r w:rsidRPr="0014612C">
              <w:rPr>
                <w:rFonts w:ascii="Calibri" w:hAnsi="Calibri" w:cs="Calibri"/>
                <w:b/>
              </w:rPr>
              <w:t>M&amp;A</w:t>
            </w:r>
            <w:r w:rsidRPr="0014612C">
              <w:rPr>
                <w:rFonts w:ascii="Calibri" w:hAnsi="Calibri" w:cs="Calibri"/>
              </w:rPr>
              <w:t xml:space="preserve"> – 7 years of law firm practice in mergers &amp; acquisitions and private equity with clients across a range of industries, including financial services, media and consumer goods.</w:t>
            </w:r>
          </w:p>
          <w:p w14:paraId="62ECAC4A" w14:textId="77777777" w:rsidR="00C0530A" w:rsidRPr="0014612C" w:rsidRDefault="00C0530A" w:rsidP="00D6340A">
            <w:pPr>
              <w:rPr>
                <w:rFonts w:ascii="Calibri" w:hAnsi="Calibri" w:cs="Calibri"/>
              </w:rPr>
            </w:pPr>
            <w:r w:rsidRPr="0014612C">
              <w:rPr>
                <w:rFonts w:ascii="Calibri" w:hAnsi="Calibri" w:cs="Calibri"/>
                <w:b/>
              </w:rPr>
              <w:t>Securities</w:t>
            </w:r>
            <w:r w:rsidRPr="0014612C">
              <w:rPr>
                <w:rFonts w:ascii="Calibri" w:hAnsi="Calibri" w:cs="Calibri"/>
              </w:rPr>
              <w:t xml:space="preserve"> – review and advise on public filings, disclosure documents and investor meetings relating to business strategy, risk factors and competitive landscape.  </w:t>
            </w:r>
          </w:p>
          <w:p w14:paraId="2C9A763D" w14:textId="77777777" w:rsidR="00C0530A" w:rsidRPr="0014612C" w:rsidRDefault="00C0530A" w:rsidP="00D6340A">
            <w:pPr>
              <w:rPr>
                <w:rFonts w:ascii="Calibri" w:hAnsi="Calibri" w:cs="Calibri"/>
              </w:rPr>
            </w:pPr>
            <w:r w:rsidRPr="0014612C">
              <w:rPr>
                <w:rFonts w:ascii="Calibri" w:hAnsi="Calibri" w:cs="Calibri"/>
                <w:b/>
              </w:rPr>
              <w:lastRenderedPageBreak/>
              <w:t>Pricing</w:t>
            </w:r>
            <w:r w:rsidRPr="0014612C">
              <w:rPr>
                <w:rFonts w:ascii="Calibri" w:hAnsi="Calibri" w:cs="Calibri"/>
              </w:rPr>
              <w:t xml:space="preserve"> – advise business on pricing strategy evolution and implementation and analysis of competitive landscape.</w:t>
            </w:r>
          </w:p>
          <w:p w14:paraId="3CB6D674" w14:textId="77777777" w:rsidR="00C0530A" w:rsidRPr="0014612C" w:rsidRDefault="00C0530A" w:rsidP="00D6340A">
            <w:pPr>
              <w:rPr>
                <w:rFonts w:ascii="Calibri" w:hAnsi="Calibri" w:cs="Calibri"/>
              </w:rPr>
            </w:pPr>
            <w:r w:rsidRPr="0014612C">
              <w:rPr>
                <w:rFonts w:ascii="Calibri" w:hAnsi="Calibri" w:cs="Calibri"/>
                <w:b/>
              </w:rPr>
              <w:t>Litigation Management</w:t>
            </w:r>
            <w:r w:rsidRPr="0014612C">
              <w:rPr>
                <w:rFonts w:ascii="Calibri" w:hAnsi="Calibri" w:cs="Calibri"/>
              </w:rPr>
              <w:t xml:space="preserve"> – work in concert with litigation team to advise U.S. business divisions in management of ongoing litigation risks and antitrust.</w:t>
            </w:r>
          </w:p>
          <w:p w14:paraId="4D4E073E" w14:textId="77777777" w:rsidR="00C0530A" w:rsidRPr="0014612C" w:rsidRDefault="00C0530A" w:rsidP="00D6340A">
            <w:pPr>
              <w:rPr>
                <w:rFonts w:ascii="Calibri" w:hAnsi="Calibri" w:cs="Calibri"/>
              </w:rPr>
            </w:pPr>
            <w:r w:rsidRPr="0014612C">
              <w:rPr>
                <w:rFonts w:ascii="Calibri" w:hAnsi="Calibri" w:cs="Calibri"/>
                <w:b/>
              </w:rPr>
              <w:t>Compliance</w:t>
            </w:r>
            <w:r w:rsidRPr="0014612C">
              <w:rPr>
                <w:rFonts w:ascii="Calibri" w:hAnsi="Calibri" w:cs="Calibri"/>
              </w:rPr>
              <w:t xml:space="preserve"> – work in concert with risk management organization to ensure appropriate development of and engagement with second line oversight functions across U.S. business divisions.  </w:t>
            </w:r>
          </w:p>
          <w:p w14:paraId="4578ACF7" w14:textId="77777777" w:rsidR="00C0530A" w:rsidRPr="0014612C" w:rsidRDefault="00C0530A" w:rsidP="00D6340A">
            <w:pPr>
              <w:rPr>
                <w:rFonts w:ascii="Calibri" w:hAnsi="Calibri" w:cs="Calibri"/>
              </w:rPr>
            </w:pPr>
            <w:r w:rsidRPr="0014612C">
              <w:rPr>
                <w:rFonts w:ascii="Calibri" w:hAnsi="Calibri" w:cs="Calibri"/>
                <w:b/>
              </w:rPr>
              <w:t>Regulatory</w:t>
            </w:r>
            <w:r w:rsidRPr="0014612C">
              <w:rPr>
                <w:rFonts w:ascii="Calibri" w:hAnsi="Calibri" w:cs="Calibri"/>
              </w:rPr>
              <w:t xml:space="preserve"> – advise U.S. business divisions on regulatory interpretation, developments and strategy.  </w:t>
            </w:r>
          </w:p>
          <w:p w14:paraId="41905898" w14:textId="77777777" w:rsidR="00C0530A" w:rsidRPr="0014612C" w:rsidRDefault="00C0530A" w:rsidP="00D6340A">
            <w:pPr>
              <w:rPr>
                <w:rFonts w:ascii="Calibri" w:hAnsi="Calibri" w:cs="Calibri"/>
              </w:rPr>
            </w:pPr>
            <w:r w:rsidRPr="0014612C">
              <w:rPr>
                <w:rFonts w:ascii="Calibri" w:hAnsi="Calibri" w:cs="Calibri"/>
                <w:b/>
              </w:rPr>
              <w:t xml:space="preserve">Privacy &amp; Data Governance </w:t>
            </w:r>
            <w:r w:rsidRPr="0014612C">
              <w:rPr>
                <w:rFonts w:ascii="Calibri" w:hAnsi="Calibri" w:cs="Calibri"/>
              </w:rPr>
              <w:t>– Previous responsibility for privacy legal and regulatory strategy.  Advise business divisions on data strategy and relationships with third parties.  Participation in legal industry think tank on projects relating to data privacy and data transactions.</w:t>
            </w:r>
          </w:p>
        </w:tc>
      </w:tr>
      <w:tr w:rsidR="00C0530A" w:rsidRPr="0014612C" w14:paraId="57D39341" w14:textId="77777777" w:rsidTr="00D6340A">
        <w:trPr>
          <w:jc w:val="center"/>
        </w:trPr>
        <w:tc>
          <w:tcPr>
            <w:tcW w:w="3682" w:type="dxa"/>
          </w:tcPr>
          <w:p w14:paraId="76A649ED" w14:textId="77777777" w:rsidR="00C0530A" w:rsidRPr="0014612C" w:rsidRDefault="00C0530A" w:rsidP="00D6340A">
            <w:pPr>
              <w:rPr>
                <w:rFonts w:ascii="Calibri" w:hAnsi="Calibri" w:cs="Calibri"/>
              </w:rPr>
            </w:pPr>
            <w:r w:rsidRPr="0014612C">
              <w:rPr>
                <w:rFonts w:ascii="Calibri" w:hAnsi="Calibri" w:cs="Calibri"/>
                <w:b/>
              </w:rPr>
              <w:lastRenderedPageBreak/>
              <w:t>Experience with Public Company Securities Issues:</w:t>
            </w:r>
          </w:p>
        </w:tc>
        <w:tc>
          <w:tcPr>
            <w:tcW w:w="6570" w:type="dxa"/>
          </w:tcPr>
          <w:p w14:paraId="646EF8D0" w14:textId="77777777" w:rsidR="00C0530A" w:rsidRPr="0014612C" w:rsidRDefault="00C0530A" w:rsidP="00D6340A">
            <w:pPr>
              <w:rPr>
                <w:rFonts w:ascii="Calibri" w:hAnsi="Calibri" w:cs="Calibri"/>
                <w:b/>
              </w:rPr>
            </w:pPr>
            <w:r w:rsidRPr="0014612C">
              <w:rPr>
                <w:rFonts w:ascii="Calibri" w:hAnsi="Calibri" w:cs="Calibri"/>
                <w:b/>
              </w:rPr>
              <w:t>International Experience:</w:t>
            </w:r>
          </w:p>
          <w:p w14:paraId="104C3D2D" w14:textId="77777777" w:rsidR="00C0530A" w:rsidRPr="0014612C" w:rsidRDefault="00C0530A" w:rsidP="00D6340A">
            <w:pPr>
              <w:rPr>
                <w:rFonts w:ascii="Calibri" w:hAnsi="Calibri" w:cs="Calibri"/>
              </w:rPr>
            </w:pPr>
            <w:r w:rsidRPr="0014612C">
              <w:rPr>
                <w:rFonts w:ascii="Calibri" w:hAnsi="Calibri" w:cs="Calibri"/>
              </w:rPr>
              <w:t>Advise heads of global lines of business and directly manage legal teams with support responsibility for all U.S. business divisions as well as for certain business divisions in Canada and Latin America.  Team is based primarily in New York but also Florida, Illinois and Brazil.</w:t>
            </w:r>
          </w:p>
        </w:tc>
      </w:tr>
      <w:tr w:rsidR="00C0530A" w:rsidRPr="0014612C" w14:paraId="1111753F" w14:textId="77777777" w:rsidTr="00D6340A">
        <w:trPr>
          <w:jc w:val="center"/>
        </w:trPr>
        <w:tc>
          <w:tcPr>
            <w:tcW w:w="10252" w:type="dxa"/>
            <w:gridSpan w:val="2"/>
          </w:tcPr>
          <w:p w14:paraId="6AC50F62" w14:textId="77777777" w:rsidR="00C0530A" w:rsidRPr="0014612C" w:rsidRDefault="00C0530A" w:rsidP="00D6340A">
            <w:pPr>
              <w:rPr>
                <w:rFonts w:ascii="Calibri" w:hAnsi="Calibri" w:cs="Calibri"/>
                <w:b/>
              </w:rPr>
            </w:pPr>
            <w:r w:rsidRPr="0014612C">
              <w:rPr>
                <w:rFonts w:ascii="Calibri" w:hAnsi="Calibri" w:cs="Calibri"/>
                <w:b/>
              </w:rPr>
              <w:t>Summary of Experience/Bio: (300 words or less)</w:t>
            </w:r>
          </w:p>
          <w:p w14:paraId="24EC1C96" w14:textId="77777777" w:rsidR="00C0530A" w:rsidRPr="0014612C" w:rsidRDefault="00C0530A" w:rsidP="00D6340A">
            <w:pPr>
              <w:rPr>
                <w:rFonts w:ascii="Calibri" w:hAnsi="Calibri" w:cs="Calibri"/>
              </w:rPr>
            </w:pPr>
            <w:r w:rsidRPr="0014612C">
              <w:rPr>
                <w:rFonts w:ascii="Calibri" w:hAnsi="Calibri" w:cs="Calibri"/>
              </w:rPr>
              <w:t xml:space="preserve">Sarah </w:t>
            </w:r>
            <w:proofErr w:type="spellStart"/>
            <w:r w:rsidRPr="0014612C">
              <w:rPr>
                <w:rFonts w:ascii="Calibri" w:hAnsi="Calibri" w:cs="Calibri"/>
              </w:rPr>
              <w:t>Dodds</w:t>
            </w:r>
            <w:proofErr w:type="spellEnd"/>
            <w:r w:rsidRPr="0014612C">
              <w:rPr>
                <w:rFonts w:ascii="Calibri" w:hAnsi="Calibri" w:cs="Calibri"/>
              </w:rPr>
              <w:t>-Brown serves as Executive Vice President &amp; Managing Counsel at American Express.  She leads the Business Legal Group, which provides legal support for the company's U.S. consumer, commercial services and global merchant and network services businesses, as well as the Global Advertising and Brand Management organization.  These business divisions generate over $24B in annual revenue for American Express.  Sarah is recognized as a strategic business partner who creates momentum for change and evolution, and she has been instrumental in redefining the culture and expanding the engagement of the legal function at American Express.  For several years, in addition to her line of business support responsibilities, Sarah also led the legal Privacy &amp; Data Governance function.  In this capacity, she revolutionized the Company’s approach to privacy and data governance and set the agenda for the broader privacy organization during an extended transition between Chief Privacy Officers and led the development of a principle and risk-based approach to how the Company partners with third parties and the design of the governance and oversight framework for the Company's "Big Data" capabilities.  Outside of American Express, Sarah serves in numerous leadership capacities with educational, non-profit and civic organizations.</w:t>
            </w:r>
          </w:p>
        </w:tc>
      </w:tr>
    </w:tbl>
    <w:p w14:paraId="1DDE6A5E" w14:textId="77777777" w:rsidR="000E4144" w:rsidRPr="00C0530A" w:rsidRDefault="00C0530A" w:rsidP="00C0530A">
      <w:bookmarkStart w:id="0" w:name="_GoBack"/>
      <w:bookmarkEnd w:id="0"/>
    </w:p>
    <w:sectPr w:rsidR="000E4144" w:rsidRPr="00C0530A"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531939"/>
    <w:rsid w:val="00591236"/>
    <w:rsid w:val="00C0530A"/>
    <w:rsid w:val="00D0314A"/>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doddsbrown@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2019-08-13T21:15:00Z</dcterms:created>
  <dcterms:modified xsi:type="dcterms:W3CDTF">2019-08-13T21:15:00Z</dcterms:modified>
</cp:coreProperties>
</file>