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32" w:type="dxa"/>
        <w:jc w:val="center"/>
        <w:tblBorders>
          <w:top w:val="dashSmallGap" w:sz="6" w:space="0" w:color="A6A6A6" w:themeColor="background1" w:themeShade="A6"/>
          <w:left w:val="dashSmallGap" w:sz="6" w:space="0" w:color="A6A6A6" w:themeColor="background1" w:themeShade="A6"/>
          <w:bottom w:val="dashSmallGap" w:sz="6" w:space="0" w:color="A6A6A6" w:themeColor="background1" w:themeShade="A6"/>
          <w:right w:val="dashSmallGap" w:sz="6" w:space="0" w:color="A6A6A6" w:themeColor="background1" w:themeShade="A6"/>
          <w:insideH w:val="dashSmallGap" w:sz="6" w:space="0" w:color="A6A6A6" w:themeColor="background1" w:themeShade="A6"/>
          <w:insideV w:val="dashSmallGap" w:sz="6" w:space="0" w:color="A6A6A6" w:themeColor="background1" w:themeShade="A6"/>
        </w:tblBorders>
        <w:tblLook w:val="04A0" w:firstRow="1" w:lastRow="0" w:firstColumn="1" w:lastColumn="0" w:noHBand="0" w:noVBand="1"/>
      </w:tblPr>
      <w:tblGrid>
        <w:gridCol w:w="4766"/>
        <w:gridCol w:w="5666"/>
      </w:tblGrid>
      <w:tr w:rsidR="006F2F89" w:rsidRPr="009F57B1" w14:paraId="354908AE" w14:textId="77777777" w:rsidTr="00AE6937">
        <w:trPr>
          <w:trHeight w:val="516"/>
          <w:jc w:val="center"/>
        </w:trPr>
        <w:tc>
          <w:tcPr>
            <w:tcW w:w="4766" w:type="dxa"/>
            <w:vMerge w:val="restart"/>
          </w:tcPr>
          <w:p w14:paraId="1C0E741C" w14:textId="77777777" w:rsidR="006F2F89" w:rsidRPr="009F57B1" w:rsidRDefault="006F2F89" w:rsidP="00AE6937">
            <w:pPr>
              <w:jc w:val="center"/>
              <w:rPr>
                <w:rFonts w:ascii="Calibri" w:hAnsi="Calibri" w:cs="Calibri"/>
                <w:b/>
                <w:sz w:val="20"/>
              </w:rPr>
            </w:pPr>
            <w:r w:rsidRPr="009F57B1">
              <w:rPr>
                <w:rFonts w:ascii="Calibri" w:hAnsi="Calibri" w:cs="Calibri"/>
                <w:noProof/>
                <w:sz w:val="20"/>
              </w:rPr>
              <w:drawing>
                <wp:inline distT="0" distB="0" distL="0" distR="0" wp14:anchorId="27EDCF6B" wp14:editId="693AF69D">
                  <wp:extent cx="2217420" cy="2335221"/>
                  <wp:effectExtent l="0" t="0" r="0" b="825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otoGC2025.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99233" cy="2421381"/>
                          </a:xfrm>
                          <a:prstGeom prst="rect">
                            <a:avLst/>
                          </a:prstGeom>
                        </pic:spPr>
                      </pic:pic>
                    </a:graphicData>
                  </a:graphic>
                </wp:inline>
              </w:drawing>
            </w:r>
          </w:p>
        </w:tc>
        <w:tc>
          <w:tcPr>
            <w:tcW w:w="5666" w:type="dxa"/>
          </w:tcPr>
          <w:p w14:paraId="71892478" w14:textId="77777777" w:rsidR="006F2F89" w:rsidRPr="00732E60" w:rsidRDefault="006F2F89" w:rsidP="00AE6937">
            <w:pPr>
              <w:rPr>
                <w:rFonts w:ascii="Calibri" w:hAnsi="Calibri" w:cs="Calibri"/>
                <w:sz w:val="28"/>
                <w:szCs w:val="28"/>
              </w:rPr>
            </w:pPr>
            <w:r w:rsidRPr="00732E60">
              <w:rPr>
                <w:rFonts w:ascii="Calibri" w:hAnsi="Calibri" w:cs="Calibri"/>
                <w:b/>
                <w:sz w:val="28"/>
                <w:szCs w:val="28"/>
              </w:rPr>
              <w:t xml:space="preserve">Name:  </w:t>
            </w:r>
            <w:r w:rsidRPr="00732E60">
              <w:rPr>
                <w:rFonts w:ascii="Calibri" w:hAnsi="Calibri" w:cs="Calibri"/>
                <w:sz w:val="28"/>
                <w:szCs w:val="28"/>
              </w:rPr>
              <w:t>Michelle I. Ritter</w:t>
            </w:r>
          </w:p>
        </w:tc>
      </w:tr>
      <w:tr w:rsidR="006F2F89" w:rsidRPr="009F57B1" w14:paraId="50C42752" w14:textId="77777777" w:rsidTr="00AE6937">
        <w:trPr>
          <w:trHeight w:val="489"/>
          <w:jc w:val="center"/>
        </w:trPr>
        <w:tc>
          <w:tcPr>
            <w:tcW w:w="4766" w:type="dxa"/>
            <w:vMerge/>
          </w:tcPr>
          <w:p w14:paraId="4DDEC311" w14:textId="77777777" w:rsidR="006F2F89" w:rsidRPr="009F57B1" w:rsidRDefault="006F2F89" w:rsidP="00AE6937">
            <w:pPr>
              <w:rPr>
                <w:rFonts w:ascii="Calibri" w:hAnsi="Calibri" w:cs="Calibri"/>
                <w:sz w:val="20"/>
              </w:rPr>
            </w:pPr>
          </w:p>
        </w:tc>
        <w:tc>
          <w:tcPr>
            <w:tcW w:w="5666" w:type="dxa"/>
          </w:tcPr>
          <w:p w14:paraId="75EE446E" w14:textId="77777777" w:rsidR="006F2F89" w:rsidRPr="009F57B1" w:rsidRDefault="006F2F89" w:rsidP="00AE6937">
            <w:pPr>
              <w:rPr>
                <w:rFonts w:ascii="Calibri" w:hAnsi="Calibri" w:cs="Calibri"/>
                <w:b/>
                <w:sz w:val="20"/>
              </w:rPr>
            </w:pPr>
            <w:r w:rsidRPr="009F57B1">
              <w:rPr>
                <w:rFonts w:ascii="Calibri" w:hAnsi="Calibri" w:cs="Calibri"/>
                <w:b/>
                <w:sz w:val="20"/>
              </w:rPr>
              <w:t xml:space="preserve">Company Name:  </w:t>
            </w:r>
            <w:r w:rsidRPr="009F57B1">
              <w:rPr>
                <w:rFonts w:ascii="Calibri" w:hAnsi="Calibri" w:cs="Calibri"/>
                <w:sz w:val="20"/>
              </w:rPr>
              <w:t xml:space="preserve">Westlake Chemicals Corporation (most recent employer) </w:t>
            </w:r>
          </w:p>
        </w:tc>
      </w:tr>
      <w:tr w:rsidR="006F2F89" w:rsidRPr="009F57B1" w14:paraId="435A6E63" w14:textId="77777777" w:rsidTr="00AE6937">
        <w:trPr>
          <w:trHeight w:val="444"/>
          <w:jc w:val="center"/>
        </w:trPr>
        <w:tc>
          <w:tcPr>
            <w:tcW w:w="4766" w:type="dxa"/>
            <w:vMerge/>
          </w:tcPr>
          <w:p w14:paraId="10255C45" w14:textId="77777777" w:rsidR="006F2F89" w:rsidRPr="009F57B1" w:rsidRDefault="006F2F89" w:rsidP="00AE6937">
            <w:pPr>
              <w:rPr>
                <w:rFonts w:ascii="Calibri" w:hAnsi="Calibri" w:cs="Calibri"/>
                <w:sz w:val="20"/>
              </w:rPr>
            </w:pPr>
          </w:p>
        </w:tc>
        <w:tc>
          <w:tcPr>
            <w:tcW w:w="5666" w:type="dxa"/>
          </w:tcPr>
          <w:p w14:paraId="045170A0" w14:textId="77777777" w:rsidR="006F2F89" w:rsidRPr="009F57B1" w:rsidRDefault="006F2F89" w:rsidP="00AE6937">
            <w:pPr>
              <w:rPr>
                <w:rFonts w:ascii="Calibri" w:hAnsi="Calibri" w:cs="Calibri"/>
                <w:b/>
                <w:sz w:val="20"/>
              </w:rPr>
            </w:pPr>
            <w:r w:rsidRPr="009F57B1">
              <w:rPr>
                <w:rFonts w:ascii="Calibri" w:hAnsi="Calibri" w:cs="Calibri"/>
                <w:b/>
                <w:sz w:val="20"/>
              </w:rPr>
              <w:t xml:space="preserve">Current or Most Recent Role:  </w:t>
            </w:r>
            <w:r w:rsidRPr="009F57B1">
              <w:rPr>
                <w:rFonts w:ascii="Calibri" w:hAnsi="Calibri" w:cs="Calibri"/>
                <w:sz w:val="20"/>
              </w:rPr>
              <w:t>GC, Chemicals, Axiall Corporation, a Westlake Company</w:t>
            </w:r>
            <w:r w:rsidRPr="009F57B1">
              <w:rPr>
                <w:rFonts w:ascii="Calibri" w:hAnsi="Calibri" w:cs="Calibri"/>
                <w:b/>
                <w:sz w:val="20"/>
              </w:rPr>
              <w:t xml:space="preserve"> </w:t>
            </w:r>
          </w:p>
        </w:tc>
      </w:tr>
      <w:tr w:rsidR="006F2F89" w:rsidRPr="009F57B1" w14:paraId="152EA983" w14:textId="77777777" w:rsidTr="00AE6937">
        <w:trPr>
          <w:trHeight w:val="859"/>
          <w:jc w:val="center"/>
        </w:trPr>
        <w:tc>
          <w:tcPr>
            <w:tcW w:w="4766" w:type="dxa"/>
            <w:vMerge/>
          </w:tcPr>
          <w:p w14:paraId="7F4991A5" w14:textId="77777777" w:rsidR="006F2F89" w:rsidRPr="009F57B1" w:rsidRDefault="006F2F89" w:rsidP="00AE6937">
            <w:pPr>
              <w:rPr>
                <w:rFonts w:ascii="Calibri" w:hAnsi="Calibri" w:cs="Calibri"/>
                <w:sz w:val="20"/>
              </w:rPr>
            </w:pPr>
          </w:p>
        </w:tc>
        <w:tc>
          <w:tcPr>
            <w:tcW w:w="5666" w:type="dxa"/>
          </w:tcPr>
          <w:p w14:paraId="4465644C" w14:textId="77777777" w:rsidR="006F2F89" w:rsidRPr="009F57B1" w:rsidRDefault="006F2F89" w:rsidP="00AE6937">
            <w:pPr>
              <w:rPr>
                <w:rFonts w:ascii="Calibri" w:hAnsi="Calibri" w:cs="Calibri"/>
                <w:sz w:val="20"/>
              </w:rPr>
            </w:pPr>
            <w:r w:rsidRPr="009F57B1">
              <w:rPr>
                <w:rFonts w:ascii="Calibri" w:hAnsi="Calibri" w:cs="Calibri"/>
                <w:b/>
                <w:sz w:val="20"/>
              </w:rPr>
              <w:t xml:space="preserve">Are You The Top Legal Officer: </w:t>
            </w:r>
            <w:proofErr w:type="gramStart"/>
            <w:r w:rsidRPr="009F57B1">
              <w:rPr>
                <w:rFonts w:ascii="Calibri" w:hAnsi="Calibri" w:cs="Calibri"/>
                <w:sz w:val="20"/>
              </w:rPr>
              <w:t>No</w:t>
            </w:r>
            <w:proofErr w:type="gramEnd"/>
          </w:p>
          <w:p w14:paraId="00C58D1B" w14:textId="77777777" w:rsidR="006F2F89" w:rsidRPr="009F57B1" w:rsidRDefault="006F2F89" w:rsidP="00AE6937">
            <w:pPr>
              <w:rPr>
                <w:rFonts w:ascii="Calibri" w:hAnsi="Calibri" w:cs="Calibri"/>
                <w:sz w:val="20"/>
              </w:rPr>
            </w:pPr>
          </w:p>
          <w:p w14:paraId="35C301F3" w14:textId="77777777" w:rsidR="006F2F89" w:rsidRPr="009F57B1" w:rsidRDefault="006F2F89" w:rsidP="00AE6937">
            <w:pPr>
              <w:rPr>
                <w:rFonts w:ascii="Calibri" w:hAnsi="Calibri" w:cs="Calibri"/>
                <w:b/>
                <w:sz w:val="20"/>
              </w:rPr>
            </w:pPr>
            <w:r w:rsidRPr="009F57B1">
              <w:rPr>
                <w:rFonts w:ascii="Calibri" w:hAnsi="Calibri" w:cs="Calibri"/>
                <w:b/>
                <w:sz w:val="20"/>
              </w:rPr>
              <w:t xml:space="preserve">To whom do you report (Title):  </w:t>
            </w:r>
            <w:r w:rsidRPr="009F57B1">
              <w:rPr>
                <w:rFonts w:ascii="Calibri" w:hAnsi="Calibri" w:cs="Calibri"/>
                <w:sz w:val="20"/>
              </w:rPr>
              <w:t>Reported to the Senior Vice President, General Counsel, Chief Administrative Officer and Corporate Secretary</w:t>
            </w:r>
          </w:p>
        </w:tc>
      </w:tr>
      <w:tr w:rsidR="006F2F89" w:rsidRPr="009F57B1" w14:paraId="7B1E02A0" w14:textId="77777777" w:rsidTr="00AE6937">
        <w:trPr>
          <w:trHeight w:val="579"/>
          <w:jc w:val="center"/>
        </w:trPr>
        <w:tc>
          <w:tcPr>
            <w:tcW w:w="4766" w:type="dxa"/>
            <w:vMerge/>
          </w:tcPr>
          <w:p w14:paraId="3A29CA8D" w14:textId="77777777" w:rsidR="006F2F89" w:rsidRPr="009F57B1" w:rsidRDefault="006F2F89" w:rsidP="00AE6937">
            <w:pPr>
              <w:rPr>
                <w:rFonts w:ascii="Calibri" w:hAnsi="Calibri" w:cs="Calibri"/>
                <w:sz w:val="20"/>
              </w:rPr>
            </w:pPr>
          </w:p>
        </w:tc>
        <w:tc>
          <w:tcPr>
            <w:tcW w:w="5666" w:type="dxa"/>
          </w:tcPr>
          <w:p w14:paraId="704C5365" w14:textId="77777777" w:rsidR="006F2F89" w:rsidRPr="009F57B1" w:rsidRDefault="006F2F89" w:rsidP="00AE6937">
            <w:pPr>
              <w:rPr>
                <w:rFonts w:ascii="Calibri" w:hAnsi="Calibri" w:cs="Calibri"/>
                <w:sz w:val="20"/>
              </w:rPr>
            </w:pPr>
            <w:r w:rsidRPr="009F57B1">
              <w:rPr>
                <w:rFonts w:ascii="Calibri" w:hAnsi="Calibri" w:cs="Calibri"/>
                <w:b/>
                <w:sz w:val="20"/>
              </w:rPr>
              <w:t xml:space="preserve">Company Revenue and Market Cap: </w:t>
            </w:r>
            <w:r w:rsidRPr="009F57B1">
              <w:rPr>
                <w:rFonts w:ascii="Calibri" w:hAnsi="Calibri" w:cs="Calibri"/>
                <w:sz w:val="20"/>
              </w:rPr>
              <w:t>Westlake Chemicals Corporation:  Revenue 8.2 B      Market Cap 15.2 B</w:t>
            </w:r>
          </w:p>
          <w:p w14:paraId="3B28312B" w14:textId="77777777" w:rsidR="006F2F89" w:rsidRPr="009F57B1" w:rsidRDefault="006F2F89" w:rsidP="00AE6937">
            <w:pPr>
              <w:rPr>
                <w:rFonts w:ascii="Calibri" w:hAnsi="Calibri" w:cs="Calibri"/>
                <w:sz w:val="20"/>
              </w:rPr>
            </w:pPr>
          </w:p>
          <w:p w14:paraId="0FF3129E" w14:textId="77777777" w:rsidR="006F2F89" w:rsidRPr="009F57B1" w:rsidRDefault="006F2F89" w:rsidP="00AE6937">
            <w:pPr>
              <w:rPr>
                <w:rFonts w:ascii="Calibri" w:hAnsi="Calibri" w:cs="Calibri"/>
                <w:b/>
                <w:sz w:val="20"/>
              </w:rPr>
            </w:pPr>
            <w:r w:rsidRPr="009F57B1">
              <w:rPr>
                <w:rFonts w:ascii="Calibri" w:hAnsi="Calibri" w:cs="Calibri"/>
                <w:b/>
                <w:sz w:val="20"/>
              </w:rPr>
              <w:t>Public? Yes</w:t>
            </w:r>
          </w:p>
        </w:tc>
      </w:tr>
      <w:tr w:rsidR="006F2F89" w:rsidRPr="009F57B1" w14:paraId="0808A951" w14:textId="77777777" w:rsidTr="00AE6937">
        <w:trPr>
          <w:trHeight w:val="1524"/>
          <w:jc w:val="center"/>
        </w:trPr>
        <w:tc>
          <w:tcPr>
            <w:tcW w:w="4766" w:type="dxa"/>
          </w:tcPr>
          <w:p w14:paraId="49579C0D" w14:textId="77777777" w:rsidR="006F2F89" w:rsidRPr="009F57B1" w:rsidRDefault="006F2F89" w:rsidP="00AE6937">
            <w:pPr>
              <w:rPr>
                <w:rFonts w:ascii="Calibri" w:hAnsi="Calibri" w:cs="Calibri"/>
                <w:sz w:val="20"/>
              </w:rPr>
            </w:pPr>
            <w:r w:rsidRPr="009F57B1">
              <w:rPr>
                <w:rFonts w:ascii="Calibri" w:hAnsi="Calibri" w:cs="Calibri"/>
                <w:b/>
                <w:sz w:val="20"/>
              </w:rPr>
              <w:t xml:space="preserve">Education: </w:t>
            </w:r>
            <w:r w:rsidRPr="009F57B1">
              <w:rPr>
                <w:rFonts w:ascii="Calibri" w:hAnsi="Calibri" w:cs="Calibri"/>
                <w:sz w:val="20"/>
              </w:rPr>
              <w:t xml:space="preserve">JD, University of Pittsburgh, </w:t>
            </w:r>
            <w:proofErr w:type="gramStart"/>
            <w:r w:rsidRPr="009F57B1">
              <w:rPr>
                <w:rFonts w:ascii="Calibri" w:hAnsi="Calibri" w:cs="Calibri"/>
                <w:sz w:val="20"/>
              </w:rPr>
              <w:t>School  of</w:t>
            </w:r>
            <w:proofErr w:type="gramEnd"/>
            <w:r w:rsidRPr="009F57B1">
              <w:rPr>
                <w:rFonts w:ascii="Calibri" w:hAnsi="Calibri" w:cs="Calibri"/>
                <w:sz w:val="20"/>
              </w:rPr>
              <w:t xml:space="preserve"> Law; MBA, University of Pittsburgh, Joseph M. Katz, Graduate School of Business; BS, Carnegie Mellon University (Administration and Management Science)</w:t>
            </w:r>
          </w:p>
          <w:p w14:paraId="410A762A" w14:textId="77777777" w:rsidR="006F2F89" w:rsidRPr="009F57B1" w:rsidRDefault="006F2F89" w:rsidP="00AE6937">
            <w:pPr>
              <w:rPr>
                <w:rFonts w:ascii="Calibri" w:hAnsi="Calibri" w:cs="Calibri"/>
                <w:sz w:val="20"/>
              </w:rPr>
            </w:pPr>
          </w:p>
          <w:p w14:paraId="4964021F" w14:textId="77777777" w:rsidR="006F2F89" w:rsidRPr="009F57B1" w:rsidRDefault="006F2F89" w:rsidP="00AE6937">
            <w:pPr>
              <w:rPr>
                <w:rFonts w:ascii="Calibri" w:hAnsi="Calibri" w:cs="Calibri"/>
                <w:b/>
                <w:sz w:val="20"/>
              </w:rPr>
            </w:pPr>
            <w:r w:rsidRPr="009F57B1">
              <w:rPr>
                <w:rFonts w:ascii="Calibri" w:hAnsi="Calibri" w:cs="Calibri"/>
                <w:b/>
                <w:sz w:val="20"/>
              </w:rPr>
              <w:t xml:space="preserve">Law School Graduation Date:  </w:t>
            </w:r>
            <w:r w:rsidRPr="009F57B1">
              <w:rPr>
                <w:rFonts w:ascii="Calibri" w:hAnsi="Calibri" w:cs="Calibri"/>
                <w:sz w:val="20"/>
              </w:rPr>
              <w:t>1987</w:t>
            </w:r>
          </w:p>
        </w:tc>
        <w:tc>
          <w:tcPr>
            <w:tcW w:w="5666" w:type="dxa"/>
          </w:tcPr>
          <w:p w14:paraId="1CB24970" w14:textId="77777777" w:rsidR="006F2F89" w:rsidRPr="009F57B1" w:rsidRDefault="006F2F89" w:rsidP="00AE6937">
            <w:pPr>
              <w:rPr>
                <w:rFonts w:ascii="Calibri" w:hAnsi="Calibri" w:cs="Calibri"/>
                <w:b/>
                <w:sz w:val="20"/>
              </w:rPr>
            </w:pPr>
            <w:r w:rsidRPr="009F57B1">
              <w:rPr>
                <w:rFonts w:ascii="Calibri" w:hAnsi="Calibri" w:cs="Calibri"/>
                <w:b/>
                <w:sz w:val="20"/>
              </w:rPr>
              <w:t xml:space="preserve">GC Sponsors: </w:t>
            </w:r>
          </w:p>
          <w:p w14:paraId="7EB80FEC" w14:textId="77777777" w:rsidR="006F2F89" w:rsidRPr="009F57B1" w:rsidRDefault="006F2F89" w:rsidP="00AE6937">
            <w:pPr>
              <w:rPr>
                <w:rFonts w:ascii="Calibri" w:hAnsi="Calibri" w:cs="Calibri"/>
                <w:b/>
                <w:sz w:val="20"/>
              </w:rPr>
            </w:pPr>
          </w:p>
          <w:p w14:paraId="7647C073" w14:textId="77777777" w:rsidR="006F2F89" w:rsidRPr="009F57B1" w:rsidRDefault="006F2F89" w:rsidP="00AE6937">
            <w:pPr>
              <w:rPr>
                <w:rFonts w:ascii="Calibri" w:hAnsi="Calibri" w:cs="Calibri"/>
                <w:sz w:val="20"/>
              </w:rPr>
            </w:pPr>
            <w:r w:rsidRPr="009F57B1">
              <w:rPr>
                <w:rFonts w:ascii="Calibri" w:hAnsi="Calibri" w:cs="Calibri"/>
                <w:sz w:val="20"/>
              </w:rPr>
              <w:t xml:space="preserve">Timothy Mann, Jr. (former President and CEO of Axiall); Currently, Exec. </w:t>
            </w:r>
            <w:proofErr w:type="gramStart"/>
            <w:r w:rsidRPr="009F57B1">
              <w:rPr>
                <w:rFonts w:ascii="Calibri" w:hAnsi="Calibri" w:cs="Calibri"/>
                <w:sz w:val="20"/>
              </w:rPr>
              <w:t>VP ,</w:t>
            </w:r>
            <w:proofErr w:type="gramEnd"/>
            <w:r w:rsidRPr="009F57B1">
              <w:rPr>
                <w:rFonts w:ascii="Calibri" w:hAnsi="Calibri" w:cs="Calibri"/>
                <w:sz w:val="20"/>
              </w:rPr>
              <w:t xml:space="preserve">  GC and Corporate Secretary of Louisiana-Pacific Corp. </w:t>
            </w:r>
          </w:p>
          <w:p w14:paraId="39AEF563" w14:textId="77777777" w:rsidR="006F2F89" w:rsidRPr="009F57B1" w:rsidRDefault="006F2F89" w:rsidP="00AE6937">
            <w:pPr>
              <w:rPr>
                <w:rFonts w:ascii="Calibri" w:hAnsi="Calibri" w:cs="Calibri"/>
                <w:sz w:val="20"/>
              </w:rPr>
            </w:pPr>
          </w:p>
        </w:tc>
      </w:tr>
      <w:tr w:rsidR="006F2F89" w:rsidRPr="009F57B1" w14:paraId="733E9CEA" w14:textId="77777777" w:rsidTr="00AE6937">
        <w:trPr>
          <w:trHeight w:val="1713"/>
          <w:jc w:val="center"/>
        </w:trPr>
        <w:tc>
          <w:tcPr>
            <w:tcW w:w="4766" w:type="dxa"/>
          </w:tcPr>
          <w:p w14:paraId="4F542D71" w14:textId="77777777" w:rsidR="006F2F89" w:rsidRPr="009F57B1" w:rsidRDefault="006F2F89" w:rsidP="00AE6937">
            <w:pPr>
              <w:rPr>
                <w:rFonts w:ascii="Calibri" w:hAnsi="Calibri" w:cs="Calibri"/>
                <w:b/>
                <w:sz w:val="20"/>
              </w:rPr>
            </w:pPr>
          </w:p>
          <w:p w14:paraId="6B60178C" w14:textId="77777777" w:rsidR="006F2F89" w:rsidRPr="009F57B1" w:rsidRDefault="006F2F89" w:rsidP="00AE6937">
            <w:pPr>
              <w:rPr>
                <w:rFonts w:ascii="Calibri" w:hAnsi="Calibri" w:cs="Calibri"/>
                <w:sz w:val="20"/>
              </w:rPr>
            </w:pPr>
            <w:r w:rsidRPr="009F57B1">
              <w:rPr>
                <w:rFonts w:ascii="Calibri" w:hAnsi="Calibri" w:cs="Calibri"/>
                <w:b/>
                <w:sz w:val="20"/>
              </w:rPr>
              <w:t xml:space="preserve">Any Geographical Preferences or Restrictions?  </w:t>
            </w:r>
            <w:r w:rsidRPr="009F57B1">
              <w:rPr>
                <w:rFonts w:ascii="Calibri" w:hAnsi="Calibri" w:cs="Calibri"/>
                <w:sz w:val="20"/>
              </w:rPr>
              <w:t xml:space="preserve">PA, FL, IL, NC, NY, OH, WI, NJ, MD, DC, </w:t>
            </w:r>
            <w:proofErr w:type="gramStart"/>
            <w:r w:rsidRPr="009F57B1">
              <w:rPr>
                <w:rFonts w:ascii="Calibri" w:hAnsi="Calibri" w:cs="Calibri"/>
                <w:sz w:val="20"/>
              </w:rPr>
              <w:t>VA;  no</w:t>
            </w:r>
            <w:proofErr w:type="gramEnd"/>
            <w:r w:rsidRPr="009F57B1">
              <w:rPr>
                <w:rFonts w:ascii="Calibri" w:hAnsi="Calibri" w:cs="Calibri"/>
                <w:sz w:val="20"/>
              </w:rPr>
              <w:t xml:space="preserve"> restrictions</w:t>
            </w:r>
          </w:p>
        </w:tc>
        <w:tc>
          <w:tcPr>
            <w:tcW w:w="5666" w:type="dxa"/>
          </w:tcPr>
          <w:p w14:paraId="60744B58" w14:textId="77777777" w:rsidR="006F2F89" w:rsidRPr="009F57B1" w:rsidRDefault="006F2F89" w:rsidP="00AE6937">
            <w:pPr>
              <w:rPr>
                <w:rFonts w:ascii="Calibri" w:hAnsi="Calibri" w:cs="Calibri"/>
                <w:b/>
                <w:sz w:val="20"/>
              </w:rPr>
            </w:pPr>
            <w:r w:rsidRPr="009F57B1">
              <w:rPr>
                <w:rFonts w:ascii="Calibri" w:hAnsi="Calibri" w:cs="Calibri"/>
                <w:b/>
                <w:sz w:val="20"/>
              </w:rPr>
              <w:t>Primary Area(s) of Practice/Experience (explain):</w:t>
            </w:r>
          </w:p>
          <w:p w14:paraId="687B67FA" w14:textId="77777777" w:rsidR="006F2F89" w:rsidRPr="009F57B1" w:rsidRDefault="006F2F89" w:rsidP="00AE6937">
            <w:pPr>
              <w:rPr>
                <w:rFonts w:ascii="Calibri" w:hAnsi="Calibri" w:cs="Calibri"/>
                <w:sz w:val="20"/>
              </w:rPr>
            </w:pPr>
            <w:r w:rsidRPr="009F57B1">
              <w:rPr>
                <w:rFonts w:ascii="Calibri" w:hAnsi="Calibri" w:cs="Calibri"/>
                <w:sz w:val="20"/>
              </w:rPr>
              <w:t xml:space="preserve">Commercial transactions (drafted and negotiated numerous high-value contracts); regulatory (environmental, antitrust); trade compliance (lead internal counsel); legal responsibility for Chemicals IP </w:t>
            </w:r>
            <w:proofErr w:type="gramStart"/>
            <w:r w:rsidRPr="009F57B1">
              <w:rPr>
                <w:rFonts w:ascii="Calibri" w:hAnsi="Calibri" w:cs="Calibri"/>
                <w:sz w:val="20"/>
              </w:rPr>
              <w:t>portfolio;  and</w:t>
            </w:r>
            <w:proofErr w:type="gramEnd"/>
            <w:r w:rsidRPr="009F57B1">
              <w:rPr>
                <w:rFonts w:ascii="Calibri" w:hAnsi="Calibri" w:cs="Calibri"/>
                <w:sz w:val="20"/>
              </w:rPr>
              <w:t xml:space="preserve"> supply chain (lead internal counsel).  Provided day-to-day counsel to senior executives and their staffs. Member of Chemicals Leadership team.</w:t>
            </w:r>
          </w:p>
          <w:p w14:paraId="6150C912" w14:textId="77777777" w:rsidR="006F2F89" w:rsidRPr="009F57B1" w:rsidRDefault="006F2F89" w:rsidP="00AE6937">
            <w:pPr>
              <w:rPr>
                <w:rFonts w:ascii="Calibri" w:hAnsi="Calibri" w:cs="Calibri"/>
                <w:sz w:val="20"/>
              </w:rPr>
            </w:pPr>
          </w:p>
        </w:tc>
      </w:tr>
      <w:tr w:rsidR="006F2F89" w:rsidRPr="009F57B1" w14:paraId="7F7E0765" w14:textId="77777777" w:rsidTr="00AE6937">
        <w:trPr>
          <w:jc w:val="center"/>
        </w:trPr>
        <w:tc>
          <w:tcPr>
            <w:tcW w:w="4766" w:type="dxa"/>
          </w:tcPr>
          <w:p w14:paraId="4416B3FE" w14:textId="77777777" w:rsidR="006F2F89" w:rsidRPr="009F57B1" w:rsidRDefault="006F2F89" w:rsidP="00AE6937">
            <w:pPr>
              <w:rPr>
                <w:rFonts w:ascii="Calibri" w:hAnsi="Calibri" w:cs="Calibri"/>
                <w:b/>
                <w:sz w:val="20"/>
              </w:rPr>
            </w:pPr>
            <w:r w:rsidRPr="009F57B1">
              <w:rPr>
                <w:rFonts w:ascii="Calibri" w:hAnsi="Calibri" w:cs="Calibri"/>
                <w:b/>
                <w:sz w:val="20"/>
              </w:rPr>
              <w:t xml:space="preserve">Prior In-House Titles: </w:t>
            </w:r>
            <w:r w:rsidRPr="009F57B1">
              <w:rPr>
                <w:rFonts w:ascii="Calibri" w:hAnsi="Calibri" w:cs="Calibri"/>
                <w:sz w:val="20"/>
              </w:rPr>
              <w:t>Division General Counsel, Chemicals; Corporate Counsel; Senior Counsel, EHS (head of section); Senior Attorney; and Attorney</w:t>
            </w:r>
          </w:p>
        </w:tc>
        <w:tc>
          <w:tcPr>
            <w:tcW w:w="5666" w:type="dxa"/>
          </w:tcPr>
          <w:p w14:paraId="36040232" w14:textId="77777777" w:rsidR="006F2F89" w:rsidRPr="009F57B1" w:rsidRDefault="006F2F89" w:rsidP="00AE6937">
            <w:pPr>
              <w:rPr>
                <w:rFonts w:ascii="Calibri" w:hAnsi="Calibri" w:cs="Calibri"/>
                <w:b/>
                <w:sz w:val="20"/>
              </w:rPr>
            </w:pPr>
            <w:r w:rsidRPr="009F57B1">
              <w:rPr>
                <w:rFonts w:ascii="Calibri" w:hAnsi="Calibri" w:cs="Calibri"/>
                <w:b/>
                <w:sz w:val="20"/>
              </w:rPr>
              <w:t>Law Firm Experience (firms, years practice areas):</w:t>
            </w:r>
          </w:p>
          <w:p w14:paraId="52D519B8" w14:textId="77777777" w:rsidR="006F2F89" w:rsidRPr="009F57B1" w:rsidRDefault="006F2F89" w:rsidP="00AE6937">
            <w:pPr>
              <w:rPr>
                <w:rFonts w:ascii="Calibri" w:hAnsi="Calibri" w:cs="Calibri"/>
                <w:b/>
                <w:sz w:val="20"/>
              </w:rPr>
            </w:pPr>
            <w:r w:rsidRPr="009F57B1">
              <w:rPr>
                <w:rFonts w:ascii="Calibri" w:hAnsi="Calibri" w:cs="Calibri"/>
                <w:sz w:val="20"/>
              </w:rPr>
              <w:t>Associate for 4 years at Thorp, Reed &amp; Armstrong (now Clark Hill PLC) in Pittsburgh, PA.</w:t>
            </w:r>
            <w:r w:rsidRPr="009F57B1">
              <w:rPr>
                <w:rFonts w:ascii="Calibri" w:hAnsi="Calibri" w:cs="Calibri"/>
                <w:b/>
                <w:sz w:val="20"/>
              </w:rPr>
              <w:t xml:space="preserve">  </w:t>
            </w:r>
            <w:r w:rsidRPr="009F57B1">
              <w:rPr>
                <w:rFonts w:ascii="Calibri" w:hAnsi="Calibri" w:cs="Calibri"/>
                <w:sz w:val="20"/>
              </w:rPr>
              <w:t>Practice areas were M&amp;A, litigation, real estate and general corporate</w:t>
            </w:r>
            <w:r w:rsidRPr="009F57B1">
              <w:rPr>
                <w:rFonts w:ascii="Calibri" w:hAnsi="Calibri" w:cs="Calibri"/>
                <w:b/>
                <w:sz w:val="20"/>
              </w:rPr>
              <w:t xml:space="preserve"> </w:t>
            </w:r>
          </w:p>
          <w:p w14:paraId="544894B7" w14:textId="77777777" w:rsidR="006F2F89" w:rsidRPr="009F57B1" w:rsidRDefault="006F2F89" w:rsidP="00AE6937">
            <w:pPr>
              <w:rPr>
                <w:rFonts w:ascii="Calibri" w:hAnsi="Calibri" w:cs="Calibri"/>
                <w:b/>
                <w:sz w:val="20"/>
              </w:rPr>
            </w:pPr>
          </w:p>
        </w:tc>
      </w:tr>
      <w:tr w:rsidR="006F2F89" w:rsidRPr="009F57B1" w14:paraId="21C8BB51" w14:textId="77777777" w:rsidTr="00AE6937">
        <w:trPr>
          <w:jc w:val="center"/>
        </w:trPr>
        <w:tc>
          <w:tcPr>
            <w:tcW w:w="4766" w:type="dxa"/>
          </w:tcPr>
          <w:p w14:paraId="20EEA282" w14:textId="77777777" w:rsidR="006F2F89" w:rsidRPr="009F57B1" w:rsidRDefault="006F2F89" w:rsidP="00AE6937">
            <w:pPr>
              <w:rPr>
                <w:rFonts w:ascii="Calibri" w:hAnsi="Calibri" w:cs="Calibri"/>
                <w:b/>
                <w:sz w:val="20"/>
              </w:rPr>
            </w:pPr>
            <w:r w:rsidRPr="009F57B1">
              <w:rPr>
                <w:rFonts w:ascii="Calibri" w:hAnsi="Calibri" w:cs="Calibri"/>
                <w:b/>
                <w:sz w:val="20"/>
              </w:rPr>
              <w:t>Contact Information</w:t>
            </w:r>
          </w:p>
          <w:p w14:paraId="7DDD0F98" w14:textId="77777777" w:rsidR="006F2F89" w:rsidRPr="009F57B1" w:rsidRDefault="006F2F89" w:rsidP="00AE6937">
            <w:pPr>
              <w:rPr>
                <w:rFonts w:ascii="Calibri" w:hAnsi="Calibri" w:cs="Calibri"/>
                <w:b/>
                <w:sz w:val="20"/>
                <w:u w:val="single"/>
              </w:rPr>
            </w:pPr>
            <w:hyperlink r:id="rId6" w:history="1">
              <w:r w:rsidRPr="009F57B1">
                <w:rPr>
                  <w:rStyle w:val="Hyperlink"/>
                  <w:rFonts w:ascii="Calibri" w:hAnsi="Calibri" w:cs="Calibri"/>
                  <w:b/>
                  <w:sz w:val="20"/>
                </w:rPr>
                <w:t>Mrittercrawford17@gmail.com</w:t>
              </w:r>
            </w:hyperlink>
          </w:p>
          <w:p w14:paraId="24AC272B" w14:textId="77777777" w:rsidR="006F2F89" w:rsidRPr="009F57B1" w:rsidRDefault="006F2F89" w:rsidP="00AE6937">
            <w:pPr>
              <w:rPr>
                <w:rFonts w:ascii="Calibri" w:hAnsi="Calibri" w:cs="Calibri"/>
                <w:sz w:val="20"/>
              </w:rPr>
            </w:pPr>
            <w:r w:rsidRPr="009F57B1">
              <w:rPr>
                <w:rFonts w:ascii="Calibri" w:hAnsi="Calibri" w:cs="Calibri"/>
                <w:sz w:val="20"/>
              </w:rPr>
              <w:t>412-389-2288; 604 Arden Drive, Monroeville PA., 15146</w:t>
            </w:r>
          </w:p>
        </w:tc>
        <w:tc>
          <w:tcPr>
            <w:tcW w:w="5666" w:type="dxa"/>
          </w:tcPr>
          <w:p w14:paraId="7B67544A" w14:textId="77777777" w:rsidR="006F2F89" w:rsidRPr="009F57B1" w:rsidRDefault="006F2F89" w:rsidP="00AE6937">
            <w:pPr>
              <w:rPr>
                <w:rFonts w:ascii="Calibri" w:hAnsi="Calibri" w:cs="Calibri"/>
                <w:sz w:val="20"/>
              </w:rPr>
            </w:pPr>
            <w:r w:rsidRPr="009F57B1">
              <w:rPr>
                <w:rFonts w:ascii="Calibri" w:hAnsi="Calibri" w:cs="Calibri"/>
                <w:b/>
                <w:sz w:val="20"/>
              </w:rPr>
              <w:t xml:space="preserve">Industry Experience: </w:t>
            </w:r>
            <w:r w:rsidRPr="009F57B1">
              <w:rPr>
                <w:rFonts w:ascii="Calibri" w:hAnsi="Calibri" w:cs="Calibri"/>
                <w:sz w:val="20"/>
              </w:rPr>
              <w:t>Industrial Chemicals Sector; Manufacturing; Coatings; Water Treatment</w:t>
            </w:r>
          </w:p>
          <w:p w14:paraId="46199983" w14:textId="77777777" w:rsidR="006F2F89" w:rsidRPr="009F57B1" w:rsidRDefault="006F2F89" w:rsidP="00AE6937">
            <w:pPr>
              <w:rPr>
                <w:rFonts w:ascii="Calibri" w:hAnsi="Calibri" w:cs="Calibri"/>
                <w:sz w:val="20"/>
              </w:rPr>
            </w:pPr>
          </w:p>
          <w:p w14:paraId="5F230F87" w14:textId="77777777" w:rsidR="006F2F89" w:rsidRPr="009F57B1" w:rsidRDefault="006F2F89" w:rsidP="00AE6937">
            <w:pPr>
              <w:rPr>
                <w:rFonts w:ascii="Calibri" w:hAnsi="Calibri" w:cs="Calibri"/>
                <w:b/>
                <w:sz w:val="20"/>
              </w:rPr>
            </w:pPr>
            <w:r w:rsidRPr="009F57B1">
              <w:rPr>
                <w:rFonts w:ascii="Calibri" w:hAnsi="Calibri" w:cs="Calibri"/>
                <w:b/>
                <w:sz w:val="20"/>
              </w:rPr>
              <w:t>Size of the Largest Team Managed (explain):</w:t>
            </w:r>
          </w:p>
          <w:p w14:paraId="5F179F2F" w14:textId="77777777" w:rsidR="006F2F89" w:rsidRPr="009F57B1" w:rsidRDefault="006F2F89" w:rsidP="00AE6937">
            <w:pPr>
              <w:rPr>
                <w:rFonts w:ascii="Calibri" w:hAnsi="Calibri" w:cs="Calibri"/>
                <w:sz w:val="20"/>
              </w:rPr>
            </w:pPr>
            <w:r w:rsidRPr="009F57B1">
              <w:rPr>
                <w:rFonts w:ascii="Calibri" w:hAnsi="Calibri" w:cs="Calibri"/>
                <w:sz w:val="20"/>
              </w:rPr>
              <w:t>7 (4 attorneys, 1 IP agent, 2 support staff)</w:t>
            </w:r>
          </w:p>
          <w:p w14:paraId="2842B28E" w14:textId="77777777" w:rsidR="006F2F89" w:rsidRPr="009F57B1" w:rsidRDefault="006F2F89" w:rsidP="00AE6937">
            <w:pPr>
              <w:rPr>
                <w:rFonts w:ascii="Calibri" w:hAnsi="Calibri" w:cs="Calibri"/>
                <w:sz w:val="20"/>
              </w:rPr>
            </w:pPr>
          </w:p>
        </w:tc>
      </w:tr>
      <w:tr w:rsidR="006F2F89" w:rsidRPr="009F57B1" w14:paraId="4FF90D74" w14:textId="77777777" w:rsidTr="00AE6937">
        <w:trPr>
          <w:trHeight w:val="705"/>
          <w:jc w:val="center"/>
        </w:trPr>
        <w:tc>
          <w:tcPr>
            <w:tcW w:w="4766" w:type="dxa"/>
          </w:tcPr>
          <w:p w14:paraId="2CC6E213" w14:textId="77777777" w:rsidR="006F2F89" w:rsidRPr="009F57B1" w:rsidRDefault="006F2F89" w:rsidP="00AE6937">
            <w:pPr>
              <w:rPr>
                <w:rFonts w:ascii="Calibri" w:hAnsi="Calibri" w:cs="Calibri"/>
                <w:b/>
                <w:sz w:val="20"/>
              </w:rPr>
            </w:pPr>
            <w:r w:rsidRPr="009F57B1">
              <w:rPr>
                <w:rFonts w:ascii="Calibri" w:hAnsi="Calibri" w:cs="Calibri"/>
                <w:b/>
                <w:sz w:val="20"/>
              </w:rPr>
              <w:t>Explain level of Corporate Governance and Corporate Board Room Experience:</w:t>
            </w:r>
          </w:p>
          <w:p w14:paraId="64DBCFF6" w14:textId="77777777" w:rsidR="006F2F89" w:rsidRPr="009F57B1" w:rsidRDefault="006F2F89" w:rsidP="00AE6937">
            <w:pPr>
              <w:rPr>
                <w:rFonts w:ascii="Calibri" w:hAnsi="Calibri" w:cs="Calibri"/>
                <w:sz w:val="20"/>
              </w:rPr>
            </w:pPr>
            <w:r w:rsidRPr="009F57B1">
              <w:rPr>
                <w:rFonts w:ascii="Calibri" w:hAnsi="Calibri" w:cs="Calibri"/>
                <w:sz w:val="20"/>
              </w:rPr>
              <w:t>Former secretary to the EHS committee, chaired by the former CEO and GC of PPG Industries. Counsel to the US Board members of Axiall’s Indian JV. Counsel to PPG’s Government Affairs committee on transportation matters. Supported Axiall’s CEO on corporate governance investor matters regarding Westlake’s acquisition of Axiall. Advised PPG’s corporate risk manager on certain corporate risks.  Served as secretary to the PAC at Axiall.</w:t>
            </w:r>
          </w:p>
        </w:tc>
        <w:tc>
          <w:tcPr>
            <w:tcW w:w="5666" w:type="dxa"/>
          </w:tcPr>
          <w:p w14:paraId="5FC60122" w14:textId="77777777" w:rsidR="006F2F89" w:rsidRPr="009F57B1" w:rsidRDefault="006F2F89" w:rsidP="00AE6937">
            <w:pPr>
              <w:rPr>
                <w:rFonts w:ascii="Calibri" w:hAnsi="Calibri" w:cs="Calibri"/>
                <w:b/>
                <w:sz w:val="20"/>
              </w:rPr>
            </w:pPr>
            <w:r w:rsidRPr="009F57B1">
              <w:rPr>
                <w:rFonts w:ascii="Calibri" w:hAnsi="Calibri" w:cs="Calibri"/>
                <w:b/>
                <w:sz w:val="20"/>
              </w:rPr>
              <w:t>Experience with Public Securities Issues:</w:t>
            </w:r>
          </w:p>
          <w:p w14:paraId="4A265D5A" w14:textId="77777777" w:rsidR="006F2F89" w:rsidRPr="009F57B1" w:rsidRDefault="006F2F89" w:rsidP="00AE6937">
            <w:pPr>
              <w:rPr>
                <w:rFonts w:ascii="Calibri" w:hAnsi="Calibri" w:cs="Calibri"/>
                <w:sz w:val="20"/>
              </w:rPr>
            </w:pPr>
            <w:r w:rsidRPr="009F57B1">
              <w:rPr>
                <w:rFonts w:ascii="Calibri" w:hAnsi="Calibri" w:cs="Calibri"/>
                <w:sz w:val="20"/>
              </w:rPr>
              <w:t>Reported legal aspects of environmental reserves for SEC reports and contributed to and reviewed 10Q and 10K filings.</w:t>
            </w:r>
          </w:p>
          <w:p w14:paraId="3CD82408" w14:textId="77777777" w:rsidR="006F2F89" w:rsidRPr="009F57B1" w:rsidRDefault="006F2F89" w:rsidP="00AE6937">
            <w:pPr>
              <w:rPr>
                <w:rFonts w:ascii="Calibri" w:hAnsi="Calibri" w:cs="Calibri"/>
                <w:sz w:val="20"/>
              </w:rPr>
            </w:pPr>
          </w:p>
          <w:p w14:paraId="4AEB14AE" w14:textId="77777777" w:rsidR="006F2F89" w:rsidRPr="009F57B1" w:rsidRDefault="006F2F89" w:rsidP="00AE6937">
            <w:pPr>
              <w:spacing w:after="120"/>
              <w:rPr>
                <w:rFonts w:ascii="Calibri" w:hAnsi="Calibri" w:cs="Calibri"/>
                <w:sz w:val="20"/>
              </w:rPr>
            </w:pPr>
            <w:r w:rsidRPr="009F57B1">
              <w:rPr>
                <w:rFonts w:ascii="Calibri" w:hAnsi="Calibri" w:cs="Calibri"/>
                <w:b/>
                <w:sz w:val="20"/>
              </w:rPr>
              <w:t xml:space="preserve">In which of these critical areas do you have experience -- </w:t>
            </w:r>
            <w:r w:rsidRPr="009F57B1">
              <w:rPr>
                <w:rFonts w:ascii="Calibri" w:hAnsi="Calibri" w:cs="Calibri"/>
                <w:sz w:val="20"/>
              </w:rPr>
              <w:t xml:space="preserve">M&amp;A, Securities, Corporate Governance, Finance, Litigation Management, Compliance, Regulatory and Enterprise Risk Assessment?  Please explain. </w:t>
            </w:r>
          </w:p>
          <w:p w14:paraId="378545E2" w14:textId="77777777" w:rsidR="006F2F89" w:rsidRPr="009F57B1" w:rsidRDefault="006F2F89" w:rsidP="00AE6937">
            <w:pPr>
              <w:spacing w:after="60"/>
              <w:rPr>
                <w:rFonts w:ascii="Calibri" w:hAnsi="Calibri" w:cs="Calibri"/>
                <w:sz w:val="20"/>
              </w:rPr>
            </w:pPr>
            <w:r w:rsidRPr="009F57B1">
              <w:rPr>
                <w:rFonts w:ascii="Calibri" w:hAnsi="Calibri" w:cs="Calibri"/>
                <w:sz w:val="20"/>
              </w:rPr>
              <w:t>M&amp;A:  advised corporate teams on several M&amp;A transactions as Chemicals counsel and EHS counsel. Participated on due diligence teams and in negotiations.</w:t>
            </w:r>
          </w:p>
          <w:p w14:paraId="0ED6AD72" w14:textId="77777777" w:rsidR="006F2F89" w:rsidRPr="009F57B1" w:rsidRDefault="006F2F89" w:rsidP="00AE6937">
            <w:pPr>
              <w:spacing w:after="60"/>
              <w:rPr>
                <w:rFonts w:ascii="Calibri" w:hAnsi="Calibri" w:cs="Calibri"/>
                <w:sz w:val="20"/>
              </w:rPr>
            </w:pPr>
            <w:r w:rsidRPr="009F57B1">
              <w:rPr>
                <w:rFonts w:ascii="Calibri" w:hAnsi="Calibri" w:cs="Calibri"/>
                <w:sz w:val="20"/>
              </w:rPr>
              <w:lastRenderedPageBreak/>
              <w:t xml:space="preserve">Securities and Corporate Governance (see prior info)  </w:t>
            </w:r>
          </w:p>
          <w:p w14:paraId="5CC8A6AF" w14:textId="77777777" w:rsidR="006F2F89" w:rsidRPr="009F57B1" w:rsidRDefault="006F2F89" w:rsidP="00AE6937">
            <w:pPr>
              <w:spacing w:after="60"/>
              <w:rPr>
                <w:rFonts w:ascii="Calibri" w:hAnsi="Calibri" w:cs="Calibri"/>
                <w:sz w:val="20"/>
              </w:rPr>
            </w:pPr>
            <w:r w:rsidRPr="009F57B1">
              <w:rPr>
                <w:rFonts w:ascii="Calibri" w:hAnsi="Calibri" w:cs="Calibri"/>
                <w:sz w:val="20"/>
              </w:rPr>
              <w:t>Finance:  was lead internal counsel on financing for barges for the Chemicals business at Axiall. Worked with the corporate treasurer and purchasing team.</w:t>
            </w:r>
          </w:p>
          <w:p w14:paraId="18AF713A" w14:textId="77777777" w:rsidR="006F2F89" w:rsidRPr="009F57B1" w:rsidRDefault="006F2F89" w:rsidP="00AE6937">
            <w:pPr>
              <w:spacing w:after="60"/>
              <w:rPr>
                <w:rFonts w:ascii="Calibri" w:hAnsi="Calibri" w:cs="Calibri"/>
                <w:sz w:val="20"/>
              </w:rPr>
            </w:pPr>
            <w:r w:rsidRPr="009F57B1">
              <w:rPr>
                <w:rFonts w:ascii="Calibri" w:hAnsi="Calibri" w:cs="Calibri"/>
                <w:sz w:val="20"/>
              </w:rPr>
              <w:t>Litigation Management: responsible for the litigation budget at Axiall for the Chemicals Division. Worked with litigation team on a regular basis and participated in litigation review meetings.</w:t>
            </w:r>
          </w:p>
          <w:p w14:paraId="1D9775E5" w14:textId="77777777" w:rsidR="006F2F89" w:rsidRPr="009F57B1" w:rsidRDefault="006F2F89" w:rsidP="00AE6937">
            <w:pPr>
              <w:spacing w:after="60"/>
              <w:rPr>
                <w:rFonts w:ascii="Calibri" w:hAnsi="Calibri" w:cs="Calibri"/>
                <w:sz w:val="20"/>
              </w:rPr>
            </w:pPr>
            <w:r w:rsidRPr="009F57B1">
              <w:rPr>
                <w:rFonts w:ascii="Calibri" w:hAnsi="Calibri" w:cs="Calibri"/>
                <w:sz w:val="20"/>
              </w:rPr>
              <w:t xml:space="preserve">Compliance/Regulatory: formerly in charge of the EHS legal function at PPG and lead trade compliance lawyer; counseled senior executives and staffs on antitrust compliance; advised on day-to-day compliance matters as GC for the Chemicals Division. </w:t>
            </w:r>
          </w:p>
          <w:p w14:paraId="56929207" w14:textId="77777777" w:rsidR="006F2F89" w:rsidRPr="009F57B1" w:rsidRDefault="006F2F89" w:rsidP="00AE6937">
            <w:pPr>
              <w:rPr>
                <w:rFonts w:ascii="Calibri" w:hAnsi="Calibri" w:cs="Calibri"/>
                <w:sz w:val="20"/>
              </w:rPr>
            </w:pPr>
            <w:r w:rsidRPr="009F57B1">
              <w:rPr>
                <w:rFonts w:ascii="Calibri" w:hAnsi="Calibri" w:cs="Calibri"/>
                <w:sz w:val="20"/>
              </w:rPr>
              <w:t>Risk Assessments: advised on enterprise, EHS, trade and supply chain assessments.</w:t>
            </w:r>
          </w:p>
        </w:tc>
      </w:tr>
      <w:tr w:rsidR="006F2F89" w:rsidRPr="009F57B1" w14:paraId="1A460C31" w14:textId="77777777" w:rsidTr="00AE6937">
        <w:trPr>
          <w:jc w:val="center"/>
        </w:trPr>
        <w:tc>
          <w:tcPr>
            <w:tcW w:w="10432" w:type="dxa"/>
            <w:gridSpan w:val="2"/>
          </w:tcPr>
          <w:p w14:paraId="2085FF19" w14:textId="77777777" w:rsidR="006F2F89" w:rsidRPr="009F57B1" w:rsidRDefault="006F2F89" w:rsidP="00AE6937">
            <w:pPr>
              <w:rPr>
                <w:rFonts w:ascii="Calibri" w:hAnsi="Calibri" w:cs="Calibri"/>
                <w:b/>
                <w:sz w:val="20"/>
              </w:rPr>
            </w:pPr>
            <w:r w:rsidRPr="009F57B1">
              <w:rPr>
                <w:rFonts w:ascii="Calibri" w:hAnsi="Calibri" w:cs="Calibri"/>
                <w:b/>
                <w:sz w:val="20"/>
              </w:rPr>
              <w:lastRenderedPageBreak/>
              <w:t>International Experience:</w:t>
            </w:r>
          </w:p>
          <w:p w14:paraId="4F982165" w14:textId="77777777" w:rsidR="006F2F89" w:rsidRPr="009F57B1" w:rsidRDefault="006F2F89" w:rsidP="00AE6937">
            <w:pPr>
              <w:rPr>
                <w:rFonts w:ascii="Calibri" w:hAnsi="Calibri" w:cs="Calibri"/>
                <w:sz w:val="20"/>
              </w:rPr>
            </w:pPr>
            <w:r w:rsidRPr="009F57B1">
              <w:rPr>
                <w:rFonts w:ascii="Calibri" w:hAnsi="Calibri" w:cs="Calibri"/>
                <w:sz w:val="20"/>
              </w:rPr>
              <w:t xml:space="preserve">In-house legal responsibility for the creation and negotiation of a 50/50 Axiall JV in India.  Provided ongoing legal counsel to the US Board members of the Indian JV.  Lead lawyer for global EHS audits of international plants. Responsible for FCPA audits of Taiwan and Indian operations. Led to resolution a significant international trade compliance investigation as lead internal lawyer. Worked with senior executives on global crisis response team that managed a climate-caused situation in international locations as well as other matters. </w:t>
            </w:r>
          </w:p>
        </w:tc>
      </w:tr>
      <w:tr w:rsidR="006F2F89" w:rsidRPr="009F57B1" w14:paraId="523DCCFC" w14:textId="77777777" w:rsidTr="00AE6937">
        <w:trPr>
          <w:jc w:val="center"/>
        </w:trPr>
        <w:tc>
          <w:tcPr>
            <w:tcW w:w="10432" w:type="dxa"/>
            <w:gridSpan w:val="2"/>
          </w:tcPr>
          <w:p w14:paraId="0C4E67E1" w14:textId="77777777" w:rsidR="006F2F89" w:rsidRPr="009F57B1" w:rsidRDefault="006F2F89" w:rsidP="00AE6937">
            <w:pPr>
              <w:spacing w:before="240"/>
              <w:rPr>
                <w:rFonts w:ascii="Calibri" w:hAnsi="Calibri" w:cs="Calibri"/>
                <w:sz w:val="20"/>
              </w:rPr>
            </w:pPr>
            <w:r w:rsidRPr="009F57B1">
              <w:rPr>
                <w:rFonts w:ascii="Calibri" w:hAnsi="Calibri" w:cs="Calibri"/>
                <w:b/>
                <w:sz w:val="20"/>
              </w:rPr>
              <w:t>Summary of Experience/Bio: (300 words or less) Michelle I. Ritter</w:t>
            </w:r>
            <w:r w:rsidRPr="009F57B1">
              <w:rPr>
                <w:rFonts w:ascii="Calibri" w:hAnsi="Calibri" w:cs="Calibri"/>
                <w:sz w:val="20"/>
              </w:rPr>
              <w:t xml:space="preserve"> is a seasoned in-house corporate general counsel with significant experience addressing matters at the intersection of law and business.  Most recently Michelle served as General Counsel, Chemicals, Axiall Corporation, a Westlake Company where she was a strategic business and legal advisor to senior executives and their teams. </w:t>
            </w:r>
          </w:p>
          <w:p w14:paraId="36F3DF6E" w14:textId="77777777" w:rsidR="006F2F89" w:rsidRPr="009F57B1" w:rsidRDefault="006F2F89" w:rsidP="00AE6937">
            <w:pPr>
              <w:spacing w:before="240"/>
              <w:rPr>
                <w:rFonts w:ascii="Calibri" w:hAnsi="Calibri" w:cs="Calibri"/>
                <w:sz w:val="20"/>
              </w:rPr>
            </w:pPr>
            <w:r w:rsidRPr="009F57B1">
              <w:rPr>
                <w:rFonts w:ascii="Calibri" w:hAnsi="Calibri" w:cs="Calibri"/>
                <w:sz w:val="20"/>
              </w:rPr>
              <w:t>Her move to Axiall followed 21 years with PPG, Industries, Inc. where she rose through the ranks to become Corporate Counsel in 2006, a title she held through 2012.   She was a key legal liaison between PPG and Axiall during their $2 billion merger, becoming Axiall’s Division General Counsel, Chemicals in 2013.</w:t>
            </w:r>
          </w:p>
          <w:p w14:paraId="44CF5DBF" w14:textId="77777777" w:rsidR="006F2F89" w:rsidRPr="009F57B1" w:rsidRDefault="006F2F89" w:rsidP="00AE6937">
            <w:pPr>
              <w:spacing w:before="240"/>
              <w:rPr>
                <w:rFonts w:ascii="Calibri" w:hAnsi="Calibri" w:cs="Calibri"/>
                <w:bCs/>
                <w:sz w:val="20"/>
              </w:rPr>
            </w:pPr>
            <w:r w:rsidRPr="009F57B1">
              <w:rPr>
                <w:rFonts w:ascii="Calibri" w:hAnsi="Calibri" w:cs="Calibri"/>
                <w:sz w:val="20"/>
              </w:rPr>
              <w:t xml:space="preserve">In addition to her understanding of strategic legal/business partnering, Michelle has experience with </w:t>
            </w:r>
            <w:r w:rsidRPr="009F57B1">
              <w:rPr>
                <w:rFonts w:ascii="Calibri" w:hAnsi="Calibri" w:cs="Calibri"/>
                <w:bCs/>
                <w:sz w:val="20"/>
              </w:rPr>
              <w:t>risk management, crisis response, regulatory compliance, trade compliance, intellectual property, environmental, SEC disclosures, mergers and acquisitions, due diligence, corporate governance, litigation management, employment, supply chain and PAC matters.</w:t>
            </w:r>
          </w:p>
          <w:p w14:paraId="624C399B" w14:textId="77777777" w:rsidR="006F2F89" w:rsidRPr="009F57B1" w:rsidRDefault="006F2F89" w:rsidP="00AE6937">
            <w:pPr>
              <w:spacing w:before="240"/>
              <w:rPr>
                <w:rFonts w:ascii="Calibri" w:hAnsi="Calibri" w:cs="Calibri"/>
                <w:bCs/>
                <w:sz w:val="20"/>
              </w:rPr>
            </w:pPr>
            <w:r w:rsidRPr="009F57B1">
              <w:rPr>
                <w:rFonts w:ascii="Calibri" w:hAnsi="Calibri" w:cs="Calibri"/>
                <w:bCs/>
                <w:sz w:val="20"/>
              </w:rPr>
              <w:t xml:space="preserve">Her lasting accomplishments include spearheading the development of a formal, global corporate trade compliance team and program; forging productive partnerships between the U.S. and Indian business teams of Axiall through the creation of a joint venture in India; leading to resolution a significant international trade compliance investigation; and championing the creation of a </w:t>
            </w:r>
            <w:r w:rsidRPr="009F57B1">
              <w:rPr>
                <w:rFonts w:ascii="Calibri" w:hAnsi="Calibri" w:cs="Calibri"/>
                <w:sz w:val="20"/>
              </w:rPr>
              <w:t xml:space="preserve">formal process governing confidentiality agreements to protect vital trade secrets.  Michelle has drafted and negotiated numerous commercial transactions and led high performing and talented </w:t>
            </w:r>
            <w:r w:rsidRPr="009F57B1">
              <w:rPr>
                <w:rFonts w:ascii="Calibri" w:hAnsi="Calibri" w:cs="Calibri"/>
                <w:bCs/>
                <w:sz w:val="20"/>
              </w:rPr>
              <w:t xml:space="preserve">in-house and outside legal teams through settlements, investigations, audits, and negotiations involving many millions of dollars. </w:t>
            </w:r>
          </w:p>
          <w:p w14:paraId="214AEB9E" w14:textId="77777777" w:rsidR="006F2F89" w:rsidRPr="009F57B1" w:rsidRDefault="006F2F89" w:rsidP="00AE6937">
            <w:pPr>
              <w:spacing w:before="240"/>
              <w:rPr>
                <w:rFonts w:ascii="Calibri" w:hAnsi="Calibri" w:cs="Calibri"/>
                <w:b/>
                <w:sz w:val="20"/>
              </w:rPr>
            </w:pPr>
            <w:r w:rsidRPr="009F57B1">
              <w:rPr>
                <w:rFonts w:ascii="Calibri" w:hAnsi="Calibri" w:cs="Calibri"/>
                <w:bCs/>
                <w:sz w:val="20"/>
              </w:rPr>
              <w:t>Michelle earned her B.S. in Administration and Management Science from Carnegie Mellon University and her M.B.A. and J.D. from the University of Pittsburgh. She began her law career as a summer associate, then associate, at Thorp Reed &amp; Armstrong, now Clark Hill, LLC. Michelle has served on several nonprofit boards in the Pittsburgh area and enjoys traveling and attending professional tennis tournaments.</w:t>
            </w:r>
          </w:p>
        </w:tc>
      </w:tr>
    </w:tbl>
    <w:p w14:paraId="48919863" w14:textId="6B156C7A" w:rsidR="007912A3" w:rsidRPr="006F2F89" w:rsidRDefault="007912A3" w:rsidP="006F2F89">
      <w:bookmarkStart w:id="0" w:name="_GoBack"/>
      <w:bookmarkEnd w:id="0"/>
    </w:p>
    <w:sectPr w:rsidR="007912A3" w:rsidRPr="006F2F89" w:rsidSect="005912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C57DB"/>
    <w:multiLevelType w:val="hybridMultilevel"/>
    <w:tmpl w:val="6BC0107A"/>
    <w:lvl w:ilvl="0" w:tplc="19E610D0">
      <w:start w:val="2364"/>
      <w:numFmt w:val="bullet"/>
      <w:lvlText w:val="-"/>
      <w:lvlJc w:val="left"/>
      <w:pPr>
        <w:ind w:left="432" w:hanging="360"/>
      </w:pPr>
      <w:rPr>
        <w:rFonts w:ascii="Calibri" w:eastAsia="Calibri" w:hAnsi="Calibri" w:cs="Calibri" w:hint="default"/>
        <w:b/>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 w15:restartNumberingAfterBreak="0">
    <w:nsid w:val="1E222AAE"/>
    <w:multiLevelType w:val="hybridMultilevel"/>
    <w:tmpl w:val="437E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25625E"/>
    <w:multiLevelType w:val="hybridMultilevel"/>
    <w:tmpl w:val="10805D5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 w15:restartNumberingAfterBreak="0">
    <w:nsid w:val="4C3A138B"/>
    <w:multiLevelType w:val="hybridMultilevel"/>
    <w:tmpl w:val="E3F487C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 w15:restartNumberingAfterBreak="0">
    <w:nsid w:val="74C86A58"/>
    <w:multiLevelType w:val="hybridMultilevel"/>
    <w:tmpl w:val="83CC8EE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14A"/>
    <w:rsid w:val="00260A9B"/>
    <w:rsid w:val="002A18B0"/>
    <w:rsid w:val="003E771F"/>
    <w:rsid w:val="004A1AED"/>
    <w:rsid w:val="004B7499"/>
    <w:rsid w:val="00511CBC"/>
    <w:rsid w:val="00531939"/>
    <w:rsid w:val="00591236"/>
    <w:rsid w:val="006F2F89"/>
    <w:rsid w:val="007912A3"/>
    <w:rsid w:val="00BB520F"/>
    <w:rsid w:val="00C0530A"/>
    <w:rsid w:val="00C83F6E"/>
    <w:rsid w:val="00CC7DF8"/>
    <w:rsid w:val="00D0314A"/>
    <w:rsid w:val="00EF7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9AC89"/>
  <w15:chartTrackingRefBased/>
  <w15:docId w15:val="{1B685A5B-EBA3-A242-8F28-3C2D5898F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0314A"/>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QFormat">
    <w:name w:val="Question (Q) Format"/>
    <w:basedOn w:val="DefaultParagraphFont"/>
    <w:uiPriority w:val="1"/>
    <w:qFormat/>
    <w:rsid w:val="00EF7185"/>
    <w:rPr>
      <w:rFonts w:ascii="Arial" w:hAnsi="Arial" w:cs="Arial"/>
      <w:b w:val="0"/>
      <w:color w:val="000000" w:themeColor="text1"/>
      <w:sz w:val="28"/>
    </w:rPr>
  </w:style>
  <w:style w:type="table" w:styleId="TableGrid">
    <w:name w:val="Table Grid"/>
    <w:basedOn w:val="TableNormal"/>
    <w:uiPriority w:val="59"/>
    <w:rsid w:val="00D0314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0A9B"/>
    <w:rPr>
      <w:color w:val="0563C1" w:themeColor="hyperlink"/>
      <w:u w:val="single"/>
    </w:rPr>
  </w:style>
  <w:style w:type="character" w:styleId="FollowedHyperlink">
    <w:name w:val="FollowedHyperlink"/>
    <w:basedOn w:val="DefaultParagraphFont"/>
    <w:uiPriority w:val="99"/>
    <w:semiHidden/>
    <w:unhideWhenUsed/>
    <w:rsid w:val="00260A9B"/>
    <w:rPr>
      <w:color w:val="954F72" w:themeColor="followedHyperlink"/>
      <w:u w:val="single"/>
    </w:rPr>
  </w:style>
  <w:style w:type="paragraph" w:customStyle="1" w:styleId="Body1default">
    <w:name w:val="Body 1 default"/>
    <w:basedOn w:val="Normal"/>
    <w:qFormat/>
    <w:rsid w:val="00BB520F"/>
    <w:pPr>
      <w:spacing w:after="240"/>
    </w:pPr>
    <w:rPr>
      <w:color w:val="000000" w:themeColor="text1"/>
    </w:rPr>
  </w:style>
  <w:style w:type="character" w:customStyle="1" w:styleId="s1">
    <w:name w:val="s1"/>
    <w:rsid w:val="00511CBC"/>
    <w:rPr>
      <w:rFonts w:ascii="Helvetica" w:hAnsi="Helvetica" w:cs="Helvetica" w:hint="default"/>
      <w:b w:val="0"/>
      <w:bCs w:val="0"/>
      <w:i w:val="0"/>
      <w:iCs w:val="0"/>
      <w:sz w:val="24"/>
      <w:szCs w:val="24"/>
    </w:rPr>
  </w:style>
  <w:style w:type="paragraph" w:customStyle="1" w:styleId="p1">
    <w:name w:val="p1"/>
    <w:basedOn w:val="Normal"/>
    <w:rsid w:val="00511CBC"/>
    <w:rPr>
      <w:rFonts w:ascii="Helvetica" w:eastAsia="Times New Roman" w:hAnsi="Helvetica" w:cs="Helvetica"/>
      <w:sz w:val="18"/>
      <w:szCs w:val="18"/>
    </w:rPr>
  </w:style>
  <w:style w:type="paragraph" w:customStyle="1" w:styleId="p2">
    <w:name w:val="p2"/>
    <w:basedOn w:val="Normal"/>
    <w:rsid w:val="00511CBC"/>
    <w:rPr>
      <w:rFonts w:ascii="Helvetica" w:eastAsia="Times New Roman" w:hAnsi="Helvetica" w:cs="Helvetica"/>
      <w:sz w:val="18"/>
      <w:szCs w:val="18"/>
    </w:rPr>
  </w:style>
  <w:style w:type="character" w:customStyle="1" w:styleId="apple-converted-space">
    <w:name w:val="apple-converted-space"/>
    <w:rsid w:val="00511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rittercrawford17@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986</Words>
  <Characters>5624</Characters>
  <Application>Microsoft Office Word</Application>
  <DocSecurity>0</DocSecurity>
  <Lines>46</Lines>
  <Paragraphs>13</Paragraphs>
  <ScaleCrop>false</ScaleCrop>
  <Company/>
  <LinksUpToDate>false</LinksUpToDate>
  <CharactersWithSpaces>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Gabby Bryant</dc:creator>
  <cp:keywords/>
  <dc:description/>
  <cp:lastModifiedBy>Gabby Bryant</cp:lastModifiedBy>
  <cp:revision>2</cp:revision>
  <dcterms:created xsi:type="dcterms:W3CDTF">2019-08-14T21:33:00Z</dcterms:created>
  <dcterms:modified xsi:type="dcterms:W3CDTF">2019-08-14T21:33:00Z</dcterms:modified>
</cp:coreProperties>
</file>